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11DD9" w14:textId="21733384" w:rsidR="0078568B" w:rsidRPr="00A079D3" w:rsidRDefault="0078568B" w:rsidP="0078568B">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#94-e</w:t>
      </w:r>
      <w:r w:rsidRPr="00A079D3">
        <w:rPr>
          <w:rFonts w:cs="Arial"/>
          <w:b/>
          <w:sz w:val="28"/>
          <w:szCs w:val="28"/>
        </w:rPr>
        <w:tab/>
      </w:r>
      <w:r w:rsidRPr="00A079D3">
        <w:rPr>
          <w:rFonts w:cs="Arial"/>
          <w:b/>
          <w:sz w:val="28"/>
          <w:szCs w:val="28"/>
        </w:rPr>
        <w:tab/>
      </w:r>
      <w:r w:rsidRPr="00A079D3">
        <w:rPr>
          <w:rFonts w:cs="Arial"/>
          <w:b/>
          <w:sz w:val="28"/>
          <w:szCs w:val="28"/>
        </w:rPr>
        <w:tab/>
      </w:r>
      <w:r w:rsidRPr="00A079D3">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Pr>
          <w:rFonts w:cs="Arial"/>
          <w:b/>
          <w:sz w:val="28"/>
          <w:szCs w:val="28"/>
        </w:rPr>
        <w:t>213004</w:t>
      </w:r>
    </w:p>
    <w:p w14:paraId="1CB2DA69" w14:textId="65AAAE11" w:rsidR="0078568B" w:rsidRDefault="0078568B" w:rsidP="0078568B">
      <w:pPr>
        <w:keepLines/>
        <w:tabs>
          <w:tab w:val="left" w:pos="567"/>
        </w:tabs>
        <w:rPr>
          <w:rFonts w:cs="Arial"/>
          <w:b/>
          <w:sz w:val="28"/>
          <w:szCs w:val="28"/>
        </w:rPr>
      </w:pPr>
      <w:r w:rsidRPr="00B408CC">
        <w:rPr>
          <w:rFonts w:cs="Arial"/>
          <w:b/>
          <w:sz w:val="28"/>
          <w:szCs w:val="28"/>
        </w:rPr>
        <w:t>Electronic Meeting</w:t>
      </w:r>
      <w:r>
        <w:rPr>
          <w:rFonts w:cs="Arial"/>
          <w:b/>
          <w:sz w:val="28"/>
          <w:szCs w:val="28"/>
        </w:rPr>
        <w:t xml:space="preserve">, December 6 - 17, </w:t>
      </w:r>
      <w:r w:rsidRPr="00A079D3">
        <w:rPr>
          <w:rFonts w:cs="Arial"/>
          <w:b/>
          <w:sz w:val="28"/>
          <w:szCs w:val="28"/>
        </w:rPr>
        <w:t>20</w:t>
      </w:r>
      <w:r>
        <w:rPr>
          <w:rFonts w:cs="Arial"/>
          <w:b/>
          <w:sz w:val="28"/>
          <w:szCs w:val="28"/>
        </w:rPr>
        <w:t>21</w:t>
      </w:r>
    </w:p>
    <w:p w14:paraId="5FE4BDCE" w14:textId="77777777" w:rsidR="0078568B" w:rsidRPr="00A079D3" w:rsidRDefault="0078568B" w:rsidP="0078568B">
      <w:pPr>
        <w:keepLines/>
        <w:tabs>
          <w:tab w:val="left" w:pos="567"/>
        </w:tabs>
        <w:rPr>
          <w:rFonts w:cs="Arial"/>
          <w:b/>
          <w:sz w:val="28"/>
          <w:szCs w:val="28"/>
        </w:rPr>
      </w:pPr>
    </w:p>
    <w:p w14:paraId="65517CCD" w14:textId="4156CC67"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C1C85">
        <w:rPr>
          <w:b/>
          <w:sz w:val="24"/>
          <w:szCs w:val="24"/>
        </w:rPr>
        <w:t>8</w:t>
      </w:r>
      <w:r w:rsidR="00211595">
        <w:rPr>
          <w:b/>
          <w:sz w:val="24"/>
          <w:szCs w:val="24"/>
        </w:rPr>
        <w:t>A.5</w:t>
      </w:r>
    </w:p>
    <w:p w14:paraId="022DBE89"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FF33D20" w14:textId="3899F16B"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211595">
        <w:rPr>
          <w:b/>
          <w:sz w:val="24"/>
          <w:szCs w:val="24"/>
        </w:rPr>
        <w:t>Views on Rel-18 Full Duplex Operation Scenarios</w:t>
      </w:r>
    </w:p>
    <w:p w14:paraId="217CC6A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4ADEA15B" w14:textId="77777777" w:rsidR="00A64CF7" w:rsidRPr="00A11840" w:rsidRDefault="00A64CF7" w:rsidP="00424124">
      <w:pPr>
        <w:pStyle w:val="NoSpacing"/>
        <w:jc w:val="left"/>
        <w:rPr>
          <w:sz w:val="16"/>
          <w:szCs w:val="16"/>
        </w:rPr>
      </w:pPr>
    </w:p>
    <w:p w14:paraId="59E0F6F9" w14:textId="77777777" w:rsidR="00707D20" w:rsidRPr="00172743" w:rsidRDefault="00424124" w:rsidP="00326FF6">
      <w:pPr>
        <w:pStyle w:val="Heading1"/>
      </w:pPr>
      <w:r w:rsidRPr="00172743">
        <w:t>Introduction</w:t>
      </w:r>
    </w:p>
    <w:p w14:paraId="266FA346" w14:textId="0C470D8D" w:rsidR="002A4C92" w:rsidRDefault="002A4C92" w:rsidP="002A4C92">
      <w:pPr>
        <w:rPr>
          <w:rFonts w:ascii="Calibri" w:eastAsia="Malgun Gothic" w:hAnsi="Calibri" w:cs="Batang"/>
          <w:lang w:val="en-GB" w:eastAsia="ko-KR"/>
        </w:rPr>
      </w:pPr>
      <w:r w:rsidRPr="00C724F1">
        <w:rPr>
          <w:rFonts w:ascii="Calibri" w:eastAsia="Malgun Gothic" w:hAnsi="Calibri" w:cs="Batang"/>
          <w:lang w:val="en-GB" w:eastAsia="ko-KR"/>
        </w:rPr>
        <w:t xml:space="preserve">As part of the </w:t>
      </w:r>
      <w:r>
        <w:rPr>
          <w:rFonts w:ascii="Calibri" w:eastAsia="Malgun Gothic" w:hAnsi="Calibri" w:cs="Batang"/>
          <w:lang w:val="en-GB" w:eastAsia="ko-KR"/>
        </w:rPr>
        <w:t>Rel-1</w:t>
      </w:r>
      <w:r w:rsidR="00211595">
        <w:rPr>
          <w:rFonts w:ascii="Calibri" w:eastAsia="Malgun Gothic" w:hAnsi="Calibri" w:cs="Batang"/>
          <w:lang w:val="en-GB" w:eastAsia="ko-KR"/>
        </w:rPr>
        <w:t>8</w:t>
      </w:r>
      <w:r>
        <w:rPr>
          <w:rFonts w:ascii="Calibri" w:eastAsia="Malgun Gothic" w:hAnsi="Calibri" w:cs="Batang"/>
          <w:lang w:val="en-GB" w:eastAsia="ko-KR"/>
        </w:rPr>
        <w:t xml:space="preserve"> </w:t>
      </w:r>
      <w:r w:rsidR="00211595">
        <w:rPr>
          <w:rFonts w:ascii="Calibri" w:eastAsia="Malgun Gothic" w:hAnsi="Calibri" w:cs="Batang"/>
          <w:lang w:val="en-GB" w:eastAsia="ko-KR"/>
        </w:rPr>
        <w:t>work plan email discussions</w:t>
      </w:r>
      <w:r w:rsidRPr="00C724F1">
        <w:rPr>
          <w:rFonts w:ascii="Calibri" w:eastAsia="Malgun Gothic" w:hAnsi="Calibri" w:cs="Batang"/>
          <w:lang w:val="en-GB" w:eastAsia="ko-KR"/>
        </w:rPr>
        <w:t xml:space="preserve"> [1], </w:t>
      </w:r>
      <w:r w:rsidR="00211595">
        <w:rPr>
          <w:rFonts w:ascii="Calibri" w:eastAsia="Malgun Gothic" w:hAnsi="Calibri" w:cs="Batang"/>
          <w:lang w:val="en-GB" w:eastAsia="ko-KR"/>
        </w:rPr>
        <w:t>the discussion moderator has proposed the following</w:t>
      </w:r>
      <w:r>
        <w:rPr>
          <w:rFonts w:ascii="Calibri" w:eastAsia="Malgun Gothic" w:hAnsi="Calibri" w:cs="Batang"/>
          <w:lang w:val="en-GB" w:eastAsia="ko-KR"/>
        </w:rPr>
        <w:t xml:space="preserve"> RAN1</w:t>
      </w:r>
      <w:r w:rsidR="00211595">
        <w:rPr>
          <w:rFonts w:ascii="Calibri" w:eastAsia="Malgun Gothic" w:hAnsi="Calibri" w:cs="Batang"/>
          <w:lang w:val="en-GB" w:eastAsia="ko-KR"/>
        </w:rPr>
        <w:t>/RAN3/RAN4</w:t>
      </w:r>
      <w:r>
        <w:rPr>
          <w:rFonts w:ascii="Calibri" w:eastAsia="Malgun Gothic" w:hAnsi="Calibri" w:cs="Batang"/>
          <w:lang w:val="en-GB" w:eastAsia="ko-KR"/>
        </w:rPr>
        <w:t xml:space="preserve"> led objectives</w:t>
      </w:r>
      <w:r w:rsidR="00211595">
        <w:rPr>
          <w:rFonts w:ascii="Calibri" w:eastAsia="Malgun Gothic" w:hAnsi="Calibri" w:cs="Batang"/>
          <w:lang w:val="en-GB" w:eastAsia="ko-KR"/>
        </w:rPr>
        <w:t xml:space="preserve"> for a study item on the evolution of duplex operation including full duplex operation</w:t>
      </w:r>
      <w:r>
        <w:rPr>
          <w:rFonts w:ascii="Calibri" w:eastAsia="Malgun Gothic" w:hAnsi="Calibri" w:cs="Batang"/>
          <w:lang w:val="en-GB" w:eastAsia="ko-KR"/>
        </w:rPr>
        <w:t>:</w:t>
      </w:r>
    </w:p>
    <w:p w14:paraId="1CDF9A37" w14:textId="77777777" w:rsidR="00483CB8" w:rsidRPr="00F35704" w:rsidRDefault="00483CB8" w:rsidP="002A4C92">
      <w:pPr>
        <w:rPr>
          <w:rFonts w:ascii="Calibri" w:eastAsia="Malgun Gothic" w:hAnsi="Calibri" w:cs="Batang"/>
          <w:lang w:val="en-GB" w:eastAsia="ko-KR"/>
        </w:rPr>
      </w:pPr>
    </w:p>
    <w:tbl>
      <w:tblPr>
        <w:tblStyle w:val="TableGrid"/>
        <w:tblW w:w="0" w:type="auto"/>
        <w:tblLook w:val="04A0" w:firstRow="1" w:lastRow="0" w:firstColumn="1" w:lastColumn="0" w:noHBand="0" w:noVBand="1"/>
      </w:tblPr>
      <w:tblGrid>
        <w:gridCol w:w="10070"/>
      </w:tblGrid>
      <w:tr w:rsidR="00483CB8" w14:paraId="0241094D" w14:textId="77777777" w:rsidTr="00483CB8">
        <w:tc>
          <w:tcPr>
            <w:tcW w:w="10070" w:type="dxa"/>
          </w:tcPr>
          <w:p w14:paraId="7338B783" w14:textId="77777777" w:rsidR="00483CB8" w:rsidRPr="00211595" w:rsidRDefault="00483CB8" w:rsidP="00483CB8">
            <w:p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The objective of this study is to identify and evaluate the potential enhancements to support duplex evolution for NR TDD in unpaired spectrum.</w:t>
            </w:r>
          </w:p>
          <w:p w14:paraId="61E51107" w14:textId="77777777" w:rsidR="00483CB8" w:rsidRDefault="00483CB8" w:rsidP="00483CB8">
            <w:pPr>
              <w:shd w:val="clear" w:color="auto" w:fill="FFFFFF"/>
              <w:spacing w:before="0" w:after="0"/>
              <w:jc w:val="left"/>
              <w:rPr>
                <w:rFonts w:ascii="Calibri" w:eastAsia="Malgun Gothic" w:hAnsi="Calibri" w:cs="Batang"/>
                <w:lang w:val="en-GB" w:eastAsia="ko-KR"/>
              </w:rPr>
            </w:pPr>
          </w:p>
          <w:p w14:paraId="2BCB1DE0" w14:textId="77777777" w:rsidR="00483CB8" w:rsidRPr="00211595" w:rsidRDefault="00483CB8" w:rsidP="00483CB8">
            <w:p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In this study, the followings are assumed:</w:t>
            </w:r>
          </w:p>
          <w:p w14:paraId="2A45D62B" w14:textId="77777777" w:rsidR="00483CB8" w:rsidRPr="00211595" w:rsidRDefault="00483CB8" w:rsidP="00483CB8">
            <w:pPr>
              <w:pStyle w:val="ListParagraph"/>
              <w:numPr>
                <w:ilvl w:val="0"/>
                <w:numId w:val="9"/>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 xml:space="preserve">Duplex enhancement at the </w:t>
            </w:r>
            <w:proofErr w:type="spellStart"/>
            <w:r w:rsidRPr="00211595">
              <w:rPr>
                <w:rFonts w:ascii="Calibri" w:eastAsia="Malgun Gothic" w:hAnsi="Calibri" w:cs="Batang"/>
                <w:lang w:val="en-GB" w:eastAsia="ko-KR"/>
              </w:rPr>
              <w:t>gNB</w:t>
            </w:r>
            <w:proofErr w:type="spellEnd"/>
            <w:r w:rsidRPr="00211595">
              <w:rPr>
                <w:rFonts w:ascii="Calibri" w:eastAsia="Malgun Gothic" w:hAnsi="Calibri" w:cs="Batang"/>
                <w:lang w:val="en-GB" w:eastAsia="ko-KR"/>
              </w:rPr>
              <w:t xml:space="preserve"> side</w:t>
            </w:r>
          </w:p>
          <w:p w14:paraId="54360783" w14:textId="77777777" w:rsidR="00483CB8" w:rsidRPr="00211595" w:rsidRDefault="00483CB8" w:rsidP="00483CB8">
            <w:pPr>
              <w:pStyle w:val="ListParagraph"/>
              <w:numPr>
                <w:ilvl w:val="0"/>
                <w:numId w:val="9"/>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Half duplex operation at the UE side</w:t>
            </w:r>
          </w:p>
          <w:p w14:paraId="37CB08E7" w14:textId="77777777" w:rsidR="00483CB8" w:rsidRPr="00211595" w:rsidRDefault="00483CB8" w:rsidP="00483CB8">
            <w:pPr>
              <w:pStyle w:val="ListParagraph"/>
              <w:numPr>
                <w:ilvl w:val="0"/>
                <w:numId w:val="9"/>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No restriction on frequency ranges</w:t>
            </w:r>
          </w:p>
          <w:p w14:paraId="0321575E" w14:textId="77777777" w:rsidR="00483CB8" w:rsidRPr="00211595" w:rsidRDefault="00483CB8" w:rsidP="00483CB8">
            <w:p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 </w:t>
            </w:r>
          </w:p>
          <w:p w14:paraId="312175A2" w14:textId="77777777" w:rsidR="00483CB8" w:rsidRPr="00211595" w:rsidRDefault="00483CB8" w:rsidP="00483CB8">
            <w:p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The detailed objectives are as follows:</w:t>
            </w:r>
          </w:p>
          <w:p w14:paraId="6BAAA271" w14:textId="77777777" w:rsidR="00483CB8" w:rsidRPr="00211595" w:rsidRDefault="00483CB8" w:rsidP="00483CB8">
            <w:pPr>
              <w:pStyle w:val="ListParagraph"/>
              <w:numPr>
                <w:ilvl w:val="0"/>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Identify applicable and relevant deployment scenarios and use cases (RAN1).</w:t>
            </w:r>
          </w:p>
          <w:p w14:paraId="0C26AAB0" w14:textId="77777777" w:rsidR="00483CB8" w:rsidRPr="00211595" w:rsidRDefault="00483CB8" w:rsidP="00483CB8">
            <w:pPr>
              <w:pStyle w:val="ListParagraph"/>
              <w:numPr>
                <w:ilvl w:val="0"/>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Develop evaluation methodology for duplex enhancement (RAN1).</w:t>
            </w:r>
          </w:p>
          <w:p w14:paraId="426EC920" w14:textId="77777777" w:rsidR="00483CB8" w:rsidRPr="00211595" w:rsidRDefault="00483CB8" w:rsidP="00483CB8">
            <w:pPr>
              <w:pStyle w:val="ListParagraph"/>
              <w:numPr>
                <w:ilvl w:val="0"/>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 xml:space="preserve">Study the </w:t>
            </w:r>
            <w:proofErr w:type="spellStart"/>
            <w:r w:rsidRPr="00211595">
              <w:rPr>
                <w:rFonts w:ascii="Calibri" w:eastAsia="Malgun Gothic" w:hAnsi="Calibri" w:cs="Batang"/>
                <w:lang w:val="en-GB" w:eastAsia="ko-KR"/>
              </w:rPr>
              <w:t>subband</w:t>
            </w:r>
            <w:proofErr w:type="spellEnd"/>
            <w:r w:rsidRPr="00211595">
              <w:rPr>
                <w:rFonts w:ascii="Calibri" w:eastAsia="Malgun Gothic" w:hAnsi="Calibri" w:cs="Batang"/>
                <w:lang w:val="en-GB" w:eastAsia="ko-KR"/>
              </w:rPr>
              <w:t xml:space="preserve"> non-overlapping full duplex and potential enhancements on dynamic/flexible TDD.</w:t>
            </w:r>
          </w:p>
          <w:p w14:paraId="2F26AA64" w14:textId="77777777" w:rsidR="00483CB8" w:rsidRPr="00211595" w:rsidRDefault="00483CB8" w:rsidP="00483CB8">
            <w:pPr>
              <w:pStyle w:val="ListParagraph"/>
              <w:numPr>
                <w:ilvl w:val="1"/>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Identify possible schemes and evaluate their feasibility and performances (RAN1).</w:t>
            </w:r>
          </w:p>
          <w:p w14:paraId="79638907" w14:textId="77777777" w:rsidR="00483CB8" w:rsidRPr="00211595" w:rsidRDefault="00483CB8" w:rsidP="00483CB8">
            <w:pPr>
              <w:pStyle w:val="ListParagraph"/>
              <w:numPr>
                <w:ilvl w:val="1"/>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Study inter-</w:t>
            </w:r>
            <w:proofErr w:type="spellStart"/>
            <w:r w:rsidRPr="00211595">
              <w:rPr>
                <w:rFonts w:ascii="Calibri" w:eastAsia="Malgun Gothic" w:hAnsi="Calibri" w:cs="Batang"/>
                <w:lang w:val="en-GB" w:eastAsia="ko-KR"/>
              </w:rPr>
              <w:t>gNB</w:t>
            </w:r>
            <w:proofErr w:type="spellEnd"/>
            <w:r w:rsidRPr="00211595">
              <w:rPr>
                <w:rFonts w:ascii="Calibri" w:eastAsia="Malgun Gothic" w:hAnsi="Calibri" w:cs="Batang"/>
                <w:lang w:val="en-GB" w:eastAsia="ko-KR"/>
              </w:rPr>
              <w:t xml:space="preserve"> and inter-UE CLI handling and identify solutions to manage them (RAN1).</w:t>
            </w:r>
          </w:p>
          <w:p w14:paraId="7A8CD56A" w14:textId="77777777" w:rsidR="00483CB8" w:rsidRPr="00211595" w:rsidRDefault="00483CB8" w:rsidP="00483CB8">
            <w:pPr>
              <w:pStyle w:val="ListParagraph"/>
              <w:numPr>
                <w:ilvl w:val="2"/>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Study their impacts on inter-</w:t>
            </w:r>
            <w:proofErr w:type="spellStart"/>
            <w:r w:rsidRPr="00211595">
              <w:rPr>
                <w:rFonts w:ascii="Calibri" w:eastAsia="Malgun Gothic" w:hAnsi="Calibri" w:cs="Batang"/>
                <w:lang w:val="en-GB" w:eastAsia="ko-KR"/>
              </w:rPr>
              <w:t>gNB</w:t>
            </w:r>
            <w:proofErr w:type="spellEnd"/>
            <w:r w:rsidRPr="00211595">
              <w:rPr>
                <w:rFonts w:ascii="Calibri" w:eastAsia="Malgun Gothic" w:hAnsi="Calibri" w:cs="Batang"/>
                <w:lang w:val="en-GB" w:eastAsia="ko-KR"/>
              </w:rPr>
              <w:t xml:space="preserve"> interfaces if needed (RAN3).</w:t>
            </w:r>
          </w:p>
          <w:p w14:paraId="07E437BA" w14:textId="77777777" w:rsidR="00483CB8" w:rsidRPr="00211595" w:rsidRDefault="00483CB8" w:rsidP="00483CB8">
            <w:pPr>
              <w:pStyle w:val="ListParagraph"/>
              <w:numPr>
                <w:ilvl w:val="2"/>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Consider intra-</w:t>
            </w:r>
            <w:proofErr w:type="spellStart"/>
            <w:r w:rsidRPr="00211595">
              <w:rPr>
                <w:rFonts w:ascii="Calibri" w:eastAsia="Malgun Gothic" w:hAnsi="Calibri" w:cs="Batang"/>
                <w:lang w:val="en-GB" w:eastAsia="ko-KR"/>
              </w:rPr>
              <w:t>subband</w:t>
            </w:r>
            <w:proofErr w:type="spellEnd"/>
            <w:r w:rsidRPr="00211595">
              <w:rPr>
                <w:rFonts w:ascii="Calibri" w:eastAsia="Malgun Gothic" w:hAnsi="Calibri" w:cs="Batang"/>
                <w:lang w:val="en-GB" w:eastAsia="ko-KR"/>
              </w:rPr>
              <w:t xml:space="preserve"> CLI and inter-</w:t>
            </w:r>
            <w:proofErr w:type="spellStart"/>
            <w:r w:rsidRPr="00211595">
              <w:rPr>
                <w:rFonts w:ascii="Calibri" w:eastAsia="Malgun Gothic" w:hAnsi="Calibri" w:cs="Batang"/>
                <w:lang w:val="en-GB" w:eastAsia="ko-KR"/>
              </w:rPr>
              <w:t>subband</w:t>
            </w:r>
            <w:proofErr w:type="spellEnd"/>
            <w:r w:rsidRPr="00211595">
              <w:rPr>
                <w:rFonts w:ascii="Calibri" w:eastAsia="Malgun Gothic" w:hAnsi="Calibri" w:cs="Batang"/>
                <w:lang w:val="en-GB" w:eastAsia="ko-KR"/>
              </w:rPr>
              <w:t xml:space="preserve"> CLI in case of the </w:t>
            </w:r>
            <w:proofErr w:type="spellStart"/>
            <w:r w:rsidRPr="00211595">
              <w:rPr>
                <w:rFonts w:ascii="Calibri" w:eastAsia="Malgun Gothic" w:hAnsi="Calibri" w:cs="Batang"/>
                <w:lang w:val="en-GB" w:eastAsia="ko-KR"/>
              </w:rPr>
              <w:t>subband</w:t>
            </w:r>
            <w:proofErr w:type="spellEnd"/>
            <w:r w:rsidRPr="00211595">
              <w:rPr>
                <w:rFonts w:ascii="Calibri" w:eastAsia="Malgun Gothic" w:hAnsi="Calibri" w:cs="Batang"/>
                <w:lang w:val="en-GB" w:eastAsia="ko-KR"/>
              </w:rPr>
              <w:t xml:space="preserve"> non-overlapping full duplex.</w:t>
            </w:r>
          </w:p>
          <w:p w14:paraId="593A838E" w14:textId="77777777" w:rsidR="00483CB8" w:rsidRPr="00211595" w:rsidRDefault="00483CB8" w:rsidP="00483CB8">
            <w:pPr>
              <w:pStyle w:val="ListParagraph"/>
              <w:numPr>
                <w:ilvl w:val="1"/>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Study the performance of the identified schemes as well as the impact on legacy operation assuming their co-existence in co-channel and adjacent channels (RAN1).</w:t>
            </w:r>
          </w:p>
          <w:p w14:paraId="34D5C623" w14:textId="77777777" w:rsidR="00483CB8" w:rsidRPr="00211595" w:rsidRDefault="00483CB8" w:rsidP="00483CB8">
            <w:pPr>
              <w:pStyle w:val="ListParagraph"/>
              <w:numPr>
                <w:ilvl w:val="1"/>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Study the impact on RF requirements considering the self-interference, the inter-</w:t>
            </w:r>
            <w:proofErr w:type="spellStart"/>
            <w:r w:rsidRPr="00211595">
              <w:rPr>
                <w:rFonts w:ascii="Calibri" w:eastAsia="Malgun Gothic" w:hAnsi="Calibri" w:cs="Batang"/>
                <w:lang w:val="en-GB" w:eastAsia="ko-KR"/>
              </w:rPr>
              <w:t>subband</w:t>
            </w:r>
            <w:proofErr w:type="spellEnd"/>
            <w:r w:rsidRPr="00211595">
              <w:rPr>
                <w:rFonts w:ascii="Calibri" w:eastAsia="Malgun Gothic" w:hAnsi="Calibri" w:cs="Batang"/>
                <w:lang w:val="en-GB" w:eastAsia="ko-KR"/>
              </w:rPr>
              <w:t xml:space="preserve"> CLI, and the inter-operator CLI at </w:t>
            </w:r>
            <w:proofErr w:type="spellStart"/>
            <w:r w:rsidRPr="00211595">
              <w:rPr>
                <w:rFonts w:ascii="Calibri" w:eastAsia="Malgun Gothic" w:hAnsi="Calibri" w:cs="Batang"/>
                <w:lang w:val="en-GB" w:eastAsia="ko-KR"/>
              </w:rPr>
              <w:t>gNB</w:t>
            </w:r>
            <w:proofErr w:type="spellEnd"/>
            <w:r w:rsidRPr="00211595">
              <w:rPr>
                <w:rFonts w:ascii="Calibri" w:eastAsia="Malgun Gothic" w:hAnsi="Calibri" w:cs="Batang"/>
                <w:lang w:val="en-GB" w:eastAsia="ko-KR"/>
              </w:rPr>
              <w:t xml:space="preserve"> and the inter-</w:t>
            </w:r>
            <w:proofErr w:type="spellStart"/>
            <w:r w:rsidRPr="00211595">
              <w:rPr>
                <w:rFonts w:ascii="Calibri" w:eastAsia="Malgun Gothic" w:hAnsi="Calibri" w:cs="Batang"/>
                <w:lang w:val="en-GB" w:eastAsia="ko-KR"/>
              </w:rPr>
              <w:t>subband</w:t>
            </w:r>
            <w:proofErr w:type="spellEnd"/>
            <w:r w:rsidRPr="00211595">
              <w:rPr>
                <w:rFonts w:ascii="Calibri" w:eastAsia="Malgun Gothic" w:hAnsi="Calibri" w:cs="Batang"/>
                <w:lang w:val="en-GB" w:eastAsia="ko-KR"/>
              </w:rPr>
              <w:t xml:space="preserve"> CLI and inter-operator CLI at UE (RAN4).</w:t>
            </w:r>
          </w:p>
          <w:p w14:paraId="081F079B" w14:textId="77777777" w:rsidR="00483CB8" w:rsidRPr="00211595" w:rsidRDefault="00483CB8" w:rsidP="00483CB8">
            <w:pPr>
              <w:pStyle w:val="ListParagraph"/>
              <w:numPr>
                <w:ilvl w:val="1"/>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Study the impact on RF requirements considering adjacent-channel co-existence with the legacy operation (RAN4).</w:t>
            </w:r>
          </w:p>
          <w:p w14:paraId="29738573" w14:textId="77777777" w:rsidR="00483CB8" w:rsidRPr="00211595" w:rsidRDefault="00483CB8" w:rsidP="00483CB8">
            <w:pPr>
              <w:pStyle w:val="ListParagraph"/>
              <w:numPr>
                <w:ilvl w:val="1"/>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 xml:space="preserve">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211595">
              <w:rPr>
                <w:rFonts w:ascii="Calibri" w:eastAsia="Malgun Gothic" w:hAnsi="Calibri" w:cs="Batang"/>
                <w:lang w:val="en-GB" w:eastAsia="ko-KR"/>
              </w:rPr>
              <w:t>filtering</w:t>
            </w:r>
            <w:proofErr w:type="gramEnd"/>
            <w:r w:rsidRPr="00211595">
              <w:rPr>
                <w:rFonts w:ascii="Calibri" w:eastAsia="Malgun Gothic" w:hAnsi="Calibri" w:cs="Batang"/>
                <w:lang w:val="en-GB" w:eastAsia="ko-KR"/>
              </w:rPr>
              <w:t xml:space="preserve"> and digital interference suppression.</w:t>
            </w:r>
          </w:p>
          <w:p w14:paraId="4FD352D6" w14:textId="77777777" w:rsidR="00483CB8" w:rsidRPr="00211595" w:rsidRDefault="00483CB8" w:rsidP="00483CB8">
            <w:pPr>
              <w:pStyle w:val="ListParagraph"/>
              <w:numPr>
                <w:ilvl w:val="1"/>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 xml:space="preserve">Summarize the regulatory aspects that </w:t>
            </w:r>
            <w:proofErr w:type="gramStart"/>
            <w:r w:rsidRPr="00211595">
              <w:rPr>
                <w:rFonts w:ascii="Calibri" w:eastAsia="Malgun Gothic" w:hAnsi="Calibri" w:cs="Batang"/>
                <w:lang w:val="en-GB" w:eastAsia="ko-KR"/>
              </w:rPr>
              <w:t>have to</w:t>
            </w:r>
            <w:proofErr w:type="gramEnd"/>
            <w:r w:rsidRPr="00211595">
              <w:rPr>
                <w:rFonts w:ascii="Calibri" w:eastAsia="Malgun Gothic" w:hAnsi="Calibri" w:cs="Batang"/>
                <w:lang w:val="en-GB" w:eastAsia="ko-KR"/>
              </w:rPr>
              <w:t xml:space="preserve"> be considered for deploying the identified duplex enhancements in TDD unpaired spectrum (RAN4).</w:t>
            </w:r>
          </w:p>
          <w:p w14:paraId="791DAF36" w14:textId="77777777" w:rsidR="00483CB8" w:rsidRPr="00211595" w:rsidRDefault="00483CB8" w:rsidP="00483CB8">
            <w:p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 </w:t>
            </w:r>
          </w:p>
          <w:p w14:paraId="02D791CC" w14:textId="77777777" w:rsidR="00483CB8" w:rsidRPr="00211595" w:rsidRDefault="00483CB8" w:rsidP="00483CB8">
            <w:p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Note: For potential enhancements on dynamic/flexible TDD, utilize the outcome of discussion in Rel-15 and Rel-16 while avoiding the repetition of the same discussion.</w:t>
            </w:r>
          </w:p>
          <w:p w14:paraId="5D402E67" w14:textId="77777777" w:rsidR="00483CB8" w:rsidRDefault="00483CB8" w:rsidP="00211595">
            <w:pPr>
              <w:spacing w:before="0" w:after="0"/>
              <w:jc w:val="left"/>
              <w:rPr>
                <w:rFonts w:ascii="Calibri" w:eastAsia="Malgun Gothic" w:hAnsi="Calibri" w:cs="Batang"/>
                <w:lang w:val="en-GB" w:eastAsia="ko-KR"/>
              </w:rPr>
            </w:pPr>
          </w:p>
        </w:tc>
      </w:tr>
    </w:tbl>
    <w:p w14:paraId="25A37EE0" w14:textId="77777777" w:rsidR="00483CB8" w:rsidRDefault="00483CB8" w:rsidP="00211595">
      <w:pPr>
        <w:spacing w:before="0" w:after="0"/>
        <w:jc w:val="left"/>
        <w:rPr>
          <w:rFonts w:ascii="Calibri" w:hAnsi="Calibri"/>
        </w:rPr>
      </w:pPr>
    </w:p>
    <w:p w14:paraId="4C3112F6" w14:textId="1974D2D7" w:rsidR="002A4C92" w:rsidRPr="00211595" w:rsidRDefault="002A4C92" w:rsidP="00483CB8">
      <w:pPr>
        <w:spacing w:before="0" w:after="0"/>
        <w:jc w:val="left"/>
        <w:rPr>
          <w:rFonts w:ascii="Calibri" w:hAnsi="Calibri"/>
        </w:rPr>
      </w:pPr>
      <w:r w:rsidRPr="00C724F1">
        <w:rPr>
          <w:rFonts w:ascii="Calibri" w:hAnsi="Calibri"/>
        </w:rPr>
        <w:t xml:space="preserve">This contribution discusses </w:t>
      </w:r>
      <w:r>
        <w:rPr>
          <w:rFonts w:ascii="Calibri" w:hAnsi="Calibri"/>
        </w:rPr>
        <w:t xml:space="preserve">the </w:t>
      </w:r>
      <w:r w:rsidR="00211595">
        <w:rPr>
          <w:rFonts w:ascii="Calibri" w:hAnsi="Calibri"/>
        </w:rPr>
        <w:t xml:space="preserve">benefits and </w:t>
      </w:r>
      <w:r w:rsidR="007530DB">
        <w:rPr>
          <w:rFonts w:ascii="Calibri" w:hAnsi="Calibri"/>
        </w:rPr>
        <w:t>impact</w:t>
      </w:r>
      <w:r w:rsidR="00211595">
        <w:rPr>
          <w:rFonts w:ascii="Calibri" w:hAnsi="Calibri"/>
        </w:rPr>
        <w:t xml:space="preserve"> </w:t>
      </w:r>
      <w:r w:rsidR="007530DB">
        <w:rPr>
          <w:rFonts w:ascii="Calibri" w:hAnsi="Calibri"/>
        </w:rPr>
        <w:t>of</w:t>
      </w:r>
      <w:r w:rsidR="00211595">
        <w:rPr>
          <w:rFonts w:ascii="Calibri" w:hAnsi="Calibri"/>
        </w:rPr>
        <w:t xml:space="preserve"> includ</w:t>
      </w:r>
      <w:r w:rsidR="007530DB">
        <w:rPr>
          <w:rFonts w:ascii="Calibri" w:hAnsi="Calibri"/>
        </w:rPr>
        <w:t>ing</w:t>
      </w:r>
      <w:r w:rsidR="00211595">
        <w:rPr>
          <w:rFonts w:ascii="Calibri" w:hAnsi="Calibri"/>
        </w:rPr>
        <w:t xml:space="preserve"> </w:t>
      </w:r>
      <w:r w:rsidR="00211595" w:rsidRPr="00211595">
        <w:rPr>
          <w:rFonts w:ascii="Calibri" w:hAnsi="Calibri"/>
        </w:rPr>
        <w:t xml:space="preserve">the </w:t>
      </w:r>
      <w:proofErr w:type="spellStart"/>
      <w:r w:rsidR="00211595" w:rsidRPr="00211595">
        <w:rPr>
          <w:rFonts w:ascii="Calibri" w:hAnsi="Calibri"/>
        </w:rPr>
        <w:t>subband</w:t>
      </w:r>
      <w:proofErr w:type="spellEnd"/>
      <w:r w:rsidR="00211595" w:rsidRPr="00211595">
        <w:rPr>
          <w:rFonts w:ascii="Calibri" w:hAnsi="Calibri"/>
        </w:rPr>
        <w:t xml:space="preserve"> overlapping full duplex </w:t>
      </w:r>
      <w:r w:rsidR="007530DB">
        <w:rPr>
          <w:rFonts w:ascii="Calibri" w:hAnsi="Calibri"/>
        </w:rPr>
        <w:t xml:space="preserve">scenario </w:t>
      </w:r>
      <w:r w:rsidR="00211595" w:rsidRPr="00211595">
        <w:rPr>
          <w:rFonts w:ascii="Calibri" w:hAnsi="Calibri"/>
        </w:rPr>
        <w:t>in the scope</w:t>
      </w:r>
      <w:r w:rsidR="00F02184">
        <w:rPr>
          <w:rFonts w:ascii="Calibri" w:hAnsi="Calibri"/>
        </w:rPr>
        <w:t xml:space="preserve"> of a Rel-18 study item on the evolution of duplex operation</w:t>
      </w:r>
    </w:p>
    <w:p w14:paraId="11B13BBE" w14:textId="41C13D18" w:rsidR="00346605" w:rsidRPr="00172743" w:rsidRDefault="00483CB8" w:rsidP="00326FF6">
      <w:pPr>
        <w:pStyle w:val="Heading1"/>
      </w:pPr>
      <w:r w:rsidRPr="00483CB8">
        <w:lastRenderedPageBreak/>
        <w:t>Views on Rel-18 Full Duplex Operation Scenarios</w:t>
      </w:r>
    </w:p>
    <w:p w14:paraId="0844E8C9" w14:textId="3AF22E53" w:rsidR="008959CA" w:rsidRPr="00E12830" w:rsidRDefault="008959CA" w:rsidP="00E12830">
      <w:pPr>
        <w:spacing w:line="288" w:lineRule="auto"/>
        <w:rPr>
          <w:rFonts w:ascii="Calibri" w:eastAsia="Malgun Gothic" w:hAnsi="Calibri" w:cs="Batang"/>
          <w:lang w:val="en-GB" w:eastAsia="ko-KR"/>
        </w:rPr>
      </w:pPr>
      <w:r w:rsidRPr="00E12830">
        <w:rPr>
          <w:rFonts w:ascii="Calibri" w:eastAsia="Malgun Gothic" w:hAnsi="Calibri" w:cs="Batang"/>
          <w:lang w:val="en-GB" w:eastAsia="ko-KR"/>
        </w:rPr>
        <w:t xml:space="preserve">While theoretically full duplex operation can provide significant (100%) gains in terms of per-link spectral efficiency, deployment has so far been limited to point-to-point backhaul systems. For 5G systems, especially in higher frequency bands, the performance of full duplex operation is unknown with realistic base station hardware constraints. One key issue of conventional full duplex approaches is the impact of the self-interference (SI) of the </w:t>
      </w:r>
      <w:r w:rsidR="00E12830" w:rsidRPr="00E12830">
        <w:rPr>
          <w:rFonts w:ascii="Calibri" w:eastAsia="Malgun Gothic" w:hAnsi="Calibri" w:cs="Batang"/>
          <w:lang w:val="en-GB" w:eastAsia="ko-KR"/>
        </w:rPr>
        <w:t>transmitter</w:t>
      </w:r>
      <w:r w:rsidRPr="00E12830">
        <w:rPr>
          <w:rFonts w:ascii="Calibri" w:eastAsia="Malgun Gothic" w:hAnsi="Calibri" w:cs="Batang"/>
          <w:lang w:val="en-GB" w:eastAsia="ko-KR"/>
        </w:rPr>
        <w:t xml:space="preserve"> of the node on the </w:t>
      </w:r>
      <w:r w:rsidR="00E12830" w:rsidRPr="00E12830">
        <w:rPr>
          <w:rFonts w:ascii="Calibri" w:eastAsia="Malgun Gothic" w:hAnsi="Calibri" w:cs="Batang"/>
          <w:lang w:val="en-GB" w:eastAsia="ko-KR"/>
        </w:rPr>
        <w:t xml:space="preserve">receiver </w:t>
      </w:r>
      <w:r w:rsidRPr="00E12830">
        <w:rPr>
          <w:rFonts w:ascii="Calibri" w:eastAsia="Malgun Gothic" w:hAnsi="Calibri" w:cs="Batang"/>
          <w:lang w:val="en-GB" w:eastAsia="ko-KR"/>
        </w:rPr>
        <w:t xml:space="preserve">sharing the same time/frequency resources. As a result, it is beneficial for 3GPP to have a study item in Rel-18 which considers different deployment and spectrum scenarios for duplex enhancements including full duplex. </w:t>
      </w:r>
    </w:p>
    <w:p w14:paraId="1E68AE09" w14:textId="5EFFF719" w:rsidR="002A4C92" w:rsidRPr="00E10A19" w:rsidRDefault="008959CA" w:rsidP="00E10A19">
      <w:pPr>
        <w:spacing w:line="288" w:lineRule="auto"/>
        <w:rPr>
          <w:rFonts w:ascii="Calibri" w:eastAsia="Malgun Gothic" w:hAnsi="Calibri" w:cs="Batang"/>
          <w:lang w:val="en-GB" w:eastAsia="ko-KR"/>
        </w:rPr>
      </w:pPr>
      <w:r w:rsidRPr="00E12830">
        <w:rPr>
          <w:rFonts w:ascii="Calibri" w:eastAsia="Malgun Gothic" w:hAnsi="Calibri" w:cs="Batang"/>
          <w:lang w:val="en-GB" w:eastAsia="ko-KR"/>
        </w:rPr>
        <w:t xml:space="preserve">Besides general full duplex operation in sub-6 and </w:t>
      </w:r>
      <w:proofErr w:type="spellStart"/>
      <w:r w:rsidRPr="00E12830">
        <w:rPr>
          <w:rFonts w:ascii="Calibri" w:eastAsia="Malgun Gothic" w:hAnsi="Calibri" w:cs="Batang"/>
          <w:lang w:val="en-GB" w:eastAsia="ko-KR"/>
        </w:rPr>
        <w:t>mmWave</w:t>
      </w:r>
      <w:proofErr w:type="spellEnd"/>
      <w:r w:rsidRPr="00E12830">
        <w:rPr>
          <w:rFonts w:ascii="Calibri" w:eastAsia="Malgun Gothic" w:hAnsi="Calibri" w:cs="Batang"/>
          <w:lang w:val="en-GB" w:eastAsia="ko-KR"/>
        </w:rPr>
        <w:t xml:space="preserve"> bands</w:t>
      </w:r>
      <w:r w:rsidR="00E12830" w:rsidRPr="00E12830">
        <w:rPr>
          <w:rFonts w:ascii="Calibri" w:eastAsia="Malgun Gothic" w:hAnsi="Calibri" w:cs="Batang"/>
          <w:lang w:val="en-GB" w:eastAsia="ko-KR"/>
        </w:rPr>
        <w:t xml:space="preserve"> where different downlink and uplink access user links are multiplexed</w:t>
      </w:r>
      <w:r w:rsidRPr="00E12830">
        <w:rPr>
          <w:rFonts w:ascii="Calibri" w:eastAsia="Malgun Gothic" w:hAnsi="Calibri" w:cs="Batang"/>
          <w:lang w:val="en-GB" w:eastAsia="ko-KR"/>
        </w:rPr>
        <w:t>, one candi</w:t>
      </w:r>
      <w:r w:rsidR="00E12830" w:rsidRPr="00E12830">
        <w:rPr>
          <w:rFonts w:ascii="Calibri" w:eastAsia="Malgun Gothic" w:hAnsi="Calibri" w:cs="Batang"/>
          <w:lang w:val="en-GB" w:eastAsia="ko-KR"/>
        </w:rPr>
        <w:t>d</w:t>
      </w:r>
      <w:r w:rsidRPr="00E12830">
        <w:rPr>
          <w:rFonts w:ascii="Calibri" w:eastAsia="Malgun Gothic" w:hAnsi="Calibri" w:cs="Batang"/>
          <w:lang w:val="en-GB" w:eastAsia="ko-KR"/>
        </w:rPr>
        <w:t xml:space="preserve">ate application of full duplex operation </w:t>
      </w:r>
      <w:r w:rsidR="00E12830" w:rsidRPr="00E12830">
        <w:rPr>
          <w:rFonts w:ascii="Calibri" w:eastAsia="Malgun Gothic" w:hAnsi="Calibri" w:cs="Batang"/>
          <w:lang w:val="en-GB" w:eastAsia="ko-KR"/>
        </w:rPr>
        <w:t xml:space="preserve">which has already been identified and studied </w:t>
      </w:r>
      <w:r w:rsidRPr="00E12830">
        <w:rPr>
          <w:rFonts w:ascii="Calibri" w:eastAsia="Malgun Gothic" w:hAnsi="Calibri" w:cs="Batang"/>
          <w:lang w:val="en-GB" w:eastAsia="ko-KR"/>
        </w:rPr>
        <w:t xml:space="preserve">is Integrated Access and Backhaul (IAB), which supports wireless backhauling via NR enabling flexible and very dense deployment of NR cells while reducing the need for wireline transport infrastructure. </w:t>
      </w:r>
      <w:r w:rsidR="00E12830" w:rsidRPr="00E12830">
        <w:rPr>
          <w:rFonts w:ascii="Calibri" w:eastAsia="Malgun Gothic" w:hAnsi="Calibri" w:cs="Batang"/>
          <w:lang w:val="en-GB" w:eastAsia="ko-KR"/>
        </w:rPr>
        <w:t>I</w:t>
      </w:r>
      <w:r w:rsidR="002A4C92" w:rsidRPr="00E12830">
        <w:rPr>
          <w:rFonts w:ascii="Calibri" w:eastAsia="Malgun Gothic" w:hAnsi="Calibri" w:cs="Batang"/>
          <w:lang w:val="en-GB" w:eastAsia="ko-KR"/>
        </w:rPr>
        <w:t xml:space="preserve">n Rel-17 two </w:t>
      </w:r>
      <w:r w:rsidR="00E12830" w:rsidRPr="00E12830">
        <w:rPr>
          <w:rFonts w:ascii="Calibri" w:eastAsia="Malgun Gothic" w:hAnsi="Calibri" w:cs="Batang"/>
          <w:lang w:val="en-GB" w:eastAsia="ko-KR"/>
        </w:rPr>
        <w:t xml:space="preserve">multiplexing </w:t>
      </w:r>
      <w:r w:rsidR="002A4C92" w:rsidRPr="00E12830">
        <w:rPr>
          <w:rFonts w:ascii="Calibri" w:eastAsia="Malgun Gothic" w:hAnsi="Calibri" w:cs="Batang"/>
          <w:lang w:val="en-GB" w:eastAsia="ko-KR"/>
        </w:rPr>
        <w:t xml:space="preserve">scenarios </w:t>
      </w:r>
      <w:r w:rsidR="00E12830" w:rsidRPr="00E12830">
        <w:rPr>
          <w:rFonts w:ascii="Calibri" w:eastAsia="Malgun Gothic" w:hAnsi="Calibri" w:cs="Batang"/>
          <w:lang w:val="en-GB" w:eastAsia="ko-KR"/>
        </w:rPr>
        <w:t>were</w:t>
      </w:r>
      <w:r w:rsidR="002A4C92" w:rsidRPr="00E12830">
        <w:rPr>
          <w:rFonts w:ascii="Calibri" w:eastAsia="Malgun Gothic" w:hAnsi="Calibri" w:cs="Batang"/>
          <w:lang w:val="en-GB" w:eastAsia="ko-KR"/>
        </w:rPr>
        <w:t xml:space="preserve"> considered in </w:t>
      </w:r>
      <w:r w:rsidR="00180823">
        <w:rPr>
          <w:rFonts w:ascii="Calibri" w:eastAsia="Malgun Gothic" w:hAnsi="Calibri" w:cs="Batang"/>
          <w:lang w:val="en-GB" w:eastAsia="ko-KR"/>
        </w:rPr>
        <w:t>the</w:t>
      </w:r>
      <w:r w:rsidR="00CE5DF3">
        <w:rPr>
          <w:rFonts w:ascii="Calibri" w:eastAsia="Malgun Gothic" w:hAnsi="Calibri" w:cs="Batang"/>
          <w:lang w:val="en-GB" w:eastAsia="ko-KR"/>
        </w:rPr>
        <w:t xml:space="preserve"> </w:t>
      </w:r>
      <w:proofErr w:type="spellStart"/>
      <w:r w:rsidR="00CE5DF3">
        <w:rPr>
          <w:rFonts w:ascii="Calibri" w:eastAsia="Malgun Gothic" w:hAnsi="Calibri" w:cs="Batang"/>
          <w:lang w:val="en-GB" w:eastAsia="ko-KR"/>
        </w:rPr>
        <w:t>e</w:t>
      </w:r>
      <w:r w:rsidR="00180823">
        <w:rPr>
          <w:rFonts w:ascii="Calibri" w:eastAsia="Malgun Gothic" w:hAnsi="Calibri" w:cs="Batang"/>
          <w:lang w:val="en-GB" w:eastAsia="ko-KR"/>
        </w:rPr>
        <w:t>IAB</w:t>
      </w:r>
      <w:proofErr w:type="spellEnd"/>
      <w:r w:rsidR="00180823">
        <w:rPr>
          <w:rFonts w:ascii="Calibri" w:eastAsia="Malgun Gothic" w:hAnsi="Calibri" w:cs="Batang"/>
          <w:lang w:val="en-GB" w:eastAsia="ko-KR"/>
        </w:rPr>
        <w:t xml:space="preserve"> work item</w:t>
      </w:r>
      <w:r w:rsidR="002A4C92" w:rsidRPr="00E12830">
        <w:rPr>
          <w:rFonts w:ascii="Calibri" w:eastAsia="Malgun Gothic" w:hAnsi="Calibri" w:cs="Batang"/>
          <w:lang w:val="en-GB" w:eastAsia="ko-KR"/>
        </w:rPr>
        <w:t xml:space="preserve"> to support more efficient access and backhaul link multiplexing: 1) spatial division multiplexing (SDM) </w:t>
      </w:r>
      <w:r w:rsidR="008B2D8E">
        <w:rPr>
          <w:rFonts w:ascii="Calibri" w:eastAsia="Malgun Gothic" w:hAnsi="Calibri" w:cs="Batang"/>
          <w:lang w:val="en-GB" w:eastAsia="ko-KR"/>
        </w:rPr>
        <w:t xml:space="preserve">– e.g. {IAB-DU Tx, IAB_MT Tx}/{IAB-DU Rx, IAB_MT Rx} </w:t>
      </w:r>
      <w:r w:rsidR="002A4C92" w:rsidRPr="00E12830">
        <w:rPr>
          <w:rFonts w:ascii="Calibri" w:eastAsia="Malgun Gothic" w:hAnsi="Calibri" w:cs="Batang"/>
          <w:lang w:val="en-GB" w:eastAsia="ko-KR"/>
        </w:rPr>
        <w:t xml:space="preserve">and 2) </w:t>
      </w:r>
      <w:r w:rsidR="00E12830" w:rsidRPr="00E12830">
        <w:rPr>
          <w:rFonts w:ascii="Calibri" w:eastAsia="Malgun Gothic" w:hAnsi="Calibri" w:cs="Batang"/>
          <w:lang w:val="en-GB" w:eastAsia="ko-KR"/>
        </w:rPr>
        <w:t>full duplex IAB</w:t>
      </w:r>
      <w:r w:rsidR="002A4C92" w:rsidRPr="00E12830">
        <w:rPr>
          <w:rFonts w:ascii="Calibri" w:eastAsia="Malgun Gothic" w:hAnsi="Calibri" w:cs="Batang"/>
          <w:lang w:val="en-GB" w:eastAsia="ko-KR"/>
        </w:rPr>
        <w:t xml:space="preserve"> </w:t>
      </w:r>
      <w:r w:rsidR="008B2D8E">
        <w:rPr>
          <w:rFonts w:ascii="Calibri" w:eastAsia="Malgun Gothic" w:hAnsi="Calibri" w:cs="Batang"/>
          <w:lang w:val="en-GB" w:eastAsia="ko-KR"/>
        </w:rPr>
        <w:t xml:space="preserve">– e.g. {IAB-DU Tx, IAB_MT Rx}/{IAB-DU Rx, IAB_MT Tx} </w:t>
      </w:r>
      <w:r w:rsidR="002A4C92" w:rsidRPr="00E12830">
        <w:rPr>
          <w:rFonts w:ascii="Calibri" w:eastAsia="Malgun Gothic" w:hAnsi="Calibri" w:cs="Batang"/>
          <w:lang w:val="en-GB" w:eastAsia="ko-KR"/>
        </w:rPr>
        <w:t xml:space="preserve">which are illustrated in Figure </w:t>
      </w:r>
      <w:r w:rsidR="00E12830" w:rsidRPr="00E12830">
        <w:rPr>
          <w:rFonts w:ascii="Calibri" w:eastAsia="Malgun Gothic" w:hAnsi="Calibri" w:cs="Batang"/>
          <w:lang w:val="en-GB" w:eastAsia="ko-KR"/>
        </w:rPr>
        <w:t>1</w:t>
      </w:r>
      <w:r w:rsidR="002A4C92" w:rsidRPr="00E12830">
        <w:rPr>
          <w:rFonts w:ascii="Calibri" w:eastAsia="Malgun Gothic" w:hAnsi="Calibri" w:cs="Batang"/>
          <w:lang w:val="en-GB" w:eastAsia="ko-KR"/>
        </w:rPr>
        <w:t>.</w:t>
      </w:r>
    </w:p>
    <w:p w14:paraId="30E960C9" w14:textId="65551A58" w:rsidR="002A4C92" w:rsidRDefault="00E12830" w:rsidP="002A4C92">
      <w:pPr>
        <w:pStyle w:val="maintext"/>
        <w:ind w:firstLineChars="0" w:firstLine="0"/>
        <w:jc w:val="center"/>
        <w:rPr>
          <w:rFonts w:ascii="Calibri" w:hAnsi="Calibri"/>
        </w:rPr>
      </w:pPr>
      <w:r w:rsidRPr="002C395C">
        <w:rPr>
          <w:b/>
          <w:bCs/>
          <w:noProof/>
        </w:rPr>
        <w:drawing>
          <wp:inline distT="0" distB="0" distL="0" distR="0" wp14:anchorId="0CE08BC5" wp14:editId="41E8F636">
            <wp:extent cx="4093605" cy="2226761"/>
            <wp:effectExtent l="0" t="0" r="0" b="0"/>
            <wp:docPr id="41" name="Picture 6"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8"/>
                    <a:stretch>
                      <a:fillRect/>
                    </a:stretch>
                  </pic:blipFill>
                  <pic:spPr>
                    <a:xfrm>
                      <a:off x="0" y="0"/>
                      <a:ext cx="4176398" cy="2271797"/>
                    </a:xfrm>
                    <a:prstGeom prst="rect">
                      <a:avLst/>
                    </a:prstGeom>
                  </pic:spPr>
                </pic:pic>
              </a:graphicData>
            </a:graphic>
          </wp:inline>
        </w:drawing>
      </w:r>
    </w:p>
    <w:p w14:paraId="0432BB3A" w14:textId="68F3FCBB" w:rsidR="002A4C92" w:rsidRPr="00C26B75" w:rsidRDefault="002A4C92" w:rsidP="002A4C92">
      <w:pPr>
        <w:spacing w:after="240" w:line="360" w:lineRule="auto"/>
        <w:ind w:left="720"/>
        <w:jc w:val="center"/>
        <w:rPr>
          <w:rFonts w:ascii="Calibri" w:hAnsi="Calibri"/>
          <w:b/>
          <w:bCs/>
          <w:lang w:val="en-GB" w:eastAsia="zh-CN"/>
        </w:rPr>
      </w:pPr>
      <w:r w:rsidRPr="00C26B75">
        <w:rPr>
          <w:rFonts w:ascii="Calibri" w:hAnsi="Calibri"/>
          <w:b/>
          <w:bCs/>
          <w:lang w:val="en-GB" w:eastAsia="zh-CN"/>
        </w:rPr>
        <w:t xml:space="preserve">Figure </w:t>
      </w:r>
      <w:r w:rsidR="00E12830" w:rsidRPr="00C26B75">
        <w:rPr>
          <w:rFonts w:ascii="Calibri" w:hAnsi="Calibri"/>
          <w:b/>
          <w:bCs/>
          <w:lang w:val="en-GB" w:eastAsia="zh-CN"/>
        </w:rPr>
        <w:t>1</w:t>
      </w:r>
      <w:r w:rsidRPr="00C26B75">
        <w:rPr>
          <w:rFonts w:ascii="Calibri" w:hAnsi="Calibri"/>
          <w:b/>
          <w:bCs/>
          <w:lang w:val="en-GB" w:eastAsia="zh-CN"/>
        </w:rPr>
        <w:t xml:space="preserve">: Rel-17 IAB </w:t>
      </w:r>
      <w:r w:rsidR="00E12830" w:rsidRPr="00C26B75">
        <w:rPr>
          <w:rFonts w:ascii="Calibri" w:hAnsi="Calibri"/>
          <w:b/>
          <w:bCs/>
          <w:lang w:val="en-GB" w:eastAsia="zh-CN"/>
        </w:rPr>
        <w:t xml:space="preserve">Multiplexing </w:t>
      </w:r>
      <w:r w:rsidRPr="00C26B75">
        <w:rPr>
          <w:rFonts w:ascii="Calibri" w:hAnsi="Calibri"/>
          <w:b/>
          <w:bCs/>
          <w:lang w:val="en-GB" w:eastAsia="zh-CN"/>
        </w:rPr>
        <w:t>Scenarios</w:t>
      </w:r>
    </w:p>
    <w:p w14:paraId="3F64557D" w14:textId="1CB7690E" w:rsidR="0029575E" w:rsidRDefault="00180823" w:rsidP="00BB5132">
      <w:pPr>
        <w:pStyle w:val="maintext"/>
        <w:ind w:firstLineChars="0" w:firstLine="0"/>
        <w:rPr>
          <w:rFonts w:ascii="Calibri" w:hAnsi="Calibri"/>
        </w:rPr>
      </w:pPr>
      <w:r>
        <w:rPr>
          <w:rFonts w:ascii="Calibri" w:hAnsi="Calibri"/>
        </w:rPr>
        <w:t>In addition, the</w:t>
      </w:r>
      <w:r w:rsidR="008B2D8E">
        <w:rPr>
          <w:rFonts w:ascii="Calibri" w:hAnsi="Calibri"/>
        </w:rPr>
        <w:t xml:space="preserve"> new multiplexing scenarios including those covering full duplex operation are relevant for both frequency overlapping and non-frequency overlapping scenarios (</w:t>
      </w:r>
      <w:proofErr w:type="gramStart"/>
      <w:r w:rsidR="008B2D8E">
        <w:rPr>
          <w:rFonts w:ascii="Calibri" w:hAnsi="Calibri"/>
        </w:rPr>
        <w:t>e.g.</w:t>
      </w:r>
      <w:proofErr w:type="gramEnd"/>
      <w:r w:rsidR="008B2D8E">
        <w:rPr>
          <w:rFonts w:ascii="Calibri" w:hAnsi="Calibri"/>
        </w:rPr>
        <w:t xml:space="preserve"> so-called FDM and non-FDM operation). </w:t>
      </w:r>
      <w:r w:rsidR="00937310">
        <w:rPr>
          <w:rFonts w:ascii="Calibri" w:hAnsi="Calibri"/>
        </w:rPr>
        <w:t xml:space="preserve">Since an IAB node is network-deployed, the scope of the work was also intended to be fully transparent to access devices and thus backwards compatible. The different multiplexing and spectrum scenarios covered by Rel-17 </w:t>
      </w:r>
      <w:proofErr w:type="spellStart"/>
      <w:r w:rsidR="00CE5DF3">
        <w:rPr>
          <w:rFonts w:ascii="Calibri" w:hAnsi="Calibri"/>
        </w:rPr>
        <w:t>e</w:t>
      </w:r>
      <w:r w:rsidR="00937310">
        <w:rPr>
          <w:rFonts w:ascii="Calibri" w:hAnsi="Calibri"/>
        </w:rPr>
        <w:t>IAB</w:t>
      </w:r>
      <w:proofErr w:type="spellEnd"/>
      <w:r w:rsidR="00937310">
        <w:rPr>
          <w:rFonts w:ascii="Calibri" w:hAnsi="Calibri"/>
        </w:rPr>
        <w:t xml:space="preserve"> work </w:t>
      </w:r>
      <w:r w:rsidR="00CE5DF3">
        <w:rPr>
          <w:rFonts w:ascii="Calibri" w:hAnsi="Calibri"/>
        </w:rPr>
        <w:t xml:space="preserve">item </w:t>
      </w:r>
      <w:r w:rsidR="0029575E">
        <w:rPr>
          <w:rFonts w:ascii="Calibri" w:hAnsi="Calibri"/>
        </w:rPr>
        <w:t xml:space="preserve">also </w:t>
      </w:r>
      <w:r w:rsidR="00937310">
        <w:rPr>
          <w:rFonts w:ascii="Calibri" w:hAnsi="Calibri"/>
        </w:rPr>
        <w:t xml:space="preserve">enable flexibility for vendors to provide a range of support for full duplex or other simultaneous operation modes in their implementations. </w:t>
      </w:r>
    </w:p>
    <w:p w14:paraId="30C8BF7E" w14:textId="77777777" w:rsidR="00E10A19" w:rsidRDefault="00E10A19" w:rsidP="00E10A19">
      <w:pPr>
        <w:pStyle w:val="maintext"/>
        <w:ind w:firstLineChars="0" w:firstLine="0"/>
        <w:rPr>
          <w:rFonts w:ascii="Calibri" w:hAnsi="Calibri"/>
        </w:rPr>
      </w:pPr>
      <w:r>
        <w:rPr>
          <w:rFonts w:ascii="Calibri" w:hAnsi="Calibri"/>
        </w:rPr>
        <w:t>As a result, w</w:t>
      </w:r>
      <w:r w:rsidR="0029575E">
        <w:rPr>
          <w:rFonts w:ascii="Calibri" w:hAnsi="Calibri"/>
        </w:rPr>
        <w:t xml:space="preserve">hen thinking about the Rel-17 IAB RAN1 work in the context of the proposed Rel-18 evolution of duplex operation study item, </w:t>
      </w:r>
      <w:proofErr w:type="gramStart"/>
      <w:r w:rsidR="0029575E">
        <w:rPr>
          <w:rFonts w:ascii="Calibri" w:hAnsi="Calibri"/>
        </w:rPr>
        <w:t>it is clear that</w:t>
      </w:r>
      <w:r>
        <w:rPr>
          <w:rFonts w:ascii="Calibri" w:hAnsi="Calibri"/>
        </w:rPr>
        <w:t xml:space="preserve"> underlying</w:t>
      </w:r>
      <w:proofErr w:type="gramEnd"/>
      <w:r>
        <w:rPr>
          <w:rFonts w:ascii="Calibri" w:hAnsi="Calibri"/>
        </w:rPr>
        <w:t xml:space="preserve"> assumptions are aligned, namely: </w:t>
      </w:r>
    </w:p>
    <w:p w14:paraId="089081AB" w14:textId="0932B42B" w:rsidR="00E10A19" w:rsidRPr="00E10A19" w:rsidRDefault="00E10A19" w:rsidP="00E10A19">
      <w:pPr>
        <w:pStyle w:val="maintext"/>
        <w:numPr>
          <w:ilvl w:val="0"/>
          <w:numId w:val="13"/>
        </w:numPr>
        <w:ind w:firstLineChars="0"/>
        <w:rPr>
          <w:rFonts w:ascii="Calibri" w:hAnsi="Calibri"/>
        </w:rPr>
      </w:pPr>
      <w:r w:rsidRPr="00E10A19">
        <w:rPr>
          <w:rFonts w:ascii="Calibri" w:hAnsi="Calibri"/>
        </w:rPr>
        <w:t xml:space="preserve">Duplex enhancement at the </w:t>
      </w:r>
      <w:proofErr w:type="spellStart"/>
      <w:r w:rsidRPr="00E10A19">
        <w:rPr>
          <w:rFonts w:ascii="Calibri" w:hAnsi="Calibri"/>
        </w:rPr>
        <w:t>gNB</w:t>
      </w:r>
      <w:proofErr w:type="spellEnd"/>
      <w:r w:rsidRPr="00E10A19">
        <w:rPr>
          <w:rFonts w:ascii="Calibri" w:hAnsi="Calibri"/>
        </w:rPr>
        <w:t xml:space="preserve"> side</w:t>
      </w:r>
    </w:p>
    <w:p w14:paraId="7DB25FCA" w14:textId="77777777" w:rsidR="00E10A19" w:rsidRDefault="00E10A19" w:rsidP="00E10A19">
      <w:pPr>
        <w:pStyle w:val="maintext"/>
        <w:numPr>
          <w:ilvl w:val="0"/>
          <w:numId w:val="13"/>
        </w:numPr>
        <w:ind w:firstLineChars="0"/>
        <w:rPr>
          <w:rFonts w:ascii="Calibri" w:hAnsi="Calibri"/>
        </w:rPr>
      </w:pPr>
      <w:r w:rsidRPr="00E10A19">
        <w:rPr>
          <w:rFonts w:ascii="Calibri" w:hAnsi="Calibri"/>
        </w:rPr>
        <w:t>Half duplex operation at the UE side</w:t>
      </w:r>
    </w:p>
    <w:p w14:paraId="356BE823" w14:textId="31AE3293" w:rsidR="0029575E" w:rsidRDefault="00E10A19" w:rsidP="00E10A19">
      <w:pPr>
        <w:pStyle w:val="maintext"/>
        <w:numPr>
          <w:ilvl w:val="0"/>
          <w:numId w:val="13"/>
        </w:numPr>
        <w:ind w:firstLineChars="0"/>
        <w:rPr>
          <w:rFonts w:ascii="Calibri" w:hAnsi="Calibri"/>
        </w:rPr>
      </w:pPr>
      <w:r w:rsidRPr="00E10A19">
        <w:rPr>
          <w:rFonts w:ascii="Calibri" w:hAnsi="Calibri"/>
        </w:rPr>
        <w:t>No restriction on frequency ranges</w:t>
      </w:r>
    </w:p>
    <w:p w14:paraId="02D6EFAC" w14:textId="3CFC6D19" w:rsidR="00E10A19" w:rsidRDefault="00E10A19" w:rsidP="00E10A19">
      <w:pPr>
        <w:pStyle w:val="maintext"/>
        <w:ind w:firstLineChars="0" w:firstLine="0"/>
        <w:rPr>
          <w:rFonts w:ascii="Calibri" w:hAnsi="Calibri"/>
        </w:rPr>
      </w:pPr>
      <w:r>
        <w:rPr>
          <w:rFonts w:ascii="Calibri" w:hAnsi="Calibri"/>
        </w:rPr>
        <w:t xml:space="preserve">with the only difference being whether </w:t>
      </w:r>
      <w:proofErr w:type="spellStart"/>
      <w:r w:rsidRPr="00211595">
        <w:rPr>
          <w:rFonts w:ascii="Calibri" w:hAnsi="Calibri"/>
        </w:rPr>
        <w:t>subband</w:t>
      </w:r>
      <w:proofErr w:type="spellEnd"/>
      <w:r w:rsidRPr="00211595">
        <w:rPr>
          <w:rFonts w:ascii="Calibri" w:hAnsi="Calibri"/>
        </w:rPr>
        <w:t xml:space="preserve"> overlapping full duplex</w:t>
      </w:r>
      <w:r>
        <w:rPr>
          <w:rFonts w:ascii="Calibri" w:hAnsi="Calibri"/>
        </w:rPr>
        <w:t xml:space="preserve"> should be considered in addition to </w:t>
      </w:r>
      <w:proofErr w:type="spellStart"/>
      <w:r w:rsidRPr="00211595">
        <w:rPr>
          <w:rFonts w:ascii="Calibri" w:hAnsi="Calibri"/>
        </w:rPr>
        <w:t>subband</w:t>
      </w:r>
      <w:proofErr w:type="spellEnd"/>
      <w:r w:rsidRPr="00211595">
        <w:rPr>
          <w:rFonts w:ascii="Calibri" w:hAnsi="Calibri"/>
        </w:rPr>
        <w:t xml:space="preserve"> non-overlapping full duplex</w:t>
      </w:r>
      <w:r>
        <w:rPr>
          <w:rFonts w:ascii="Calibri" w:hAnsi="Calibri"/>
        </w:rPr>
        <w:t>.</w:t>
      </w:r>
    </w:p>
    <w:p w14:paraId="6957C55E" w14:textId="77777777" w:rsidR="0029575E" w:rsidRDefault="0029575E" w:rsidP="00BB5132">
      <w:pPr>
        <w:pStyle w:val="maintext"/>
        <w:ind w:firstLineChars="0" w:firstLine="0"/>
        <w:rPr>
          <w:rFonts w:ascii="Calibri" w:hAnsi="Calibri"/>
        </w:rPr>
      </w:pPr>
    </w:p>
    <w:p w14:paraId="3D71D4A5" w14:textId="6D5F5256" w:rsidR="001E1F7F" w:rsidRPr="00CE5DF3" w:rsidRDefault="00E10A19" w:rsidP="001E1F7F">
      <w:pPr>
        <w:pStyle w:val="maintext"/>
        <w:ind w:firstLineChars="0" w:firstLine="0"/>
        <w:rPr>
          <w:rFonts w:ascii="Calibri" w:hAnsi="Calibri"/>
          <w:b/>
          <w:bCs/>
        </w:rPr>
      </w:pPr>
      <w:r w:rsidRPr="00E10A19">
        <w:rPr>
          <w:rFonts w:ascii="Calibri" w:hAnsi="Calibri"/>
          <w:b/>
          <w:bCs/>
        </w:rPr>
        <w:t xml:space="preserve">Observation 1: </w:t>
      </w:r>
      <w:r>
        <w:rPr>
          <w:rFonts w:ascii="Calibri" w:hAnsi="Calibri"/>
          <w:b/>
          <w:bCs/>
        </w:rPr>
        <w:t xml:space="preserve">3GPP has already considered full duplex enhancements at the </w:t>
      </w:r>
      <w:proofErr w:type="spellStart"/>
      <w:r>
        <w:rPr>
          <w:rFonts w:ascii="Calibri" w:hAnsi="Calibri"/>
          <w:b/>
          <w:bCs/>
        </w:rPr>
        <w:t>gNB</w:t>
      </w:r>
      <w:proofErr w:type="spellEnd"/>
      <w:r>
        <w:rPr>
          <w:rFonts w:ascii="Calibri" w:hAnsi="Calibri"/>
          <w:b/>
          <w:bCs/>
        </w:rPr>
        <w:t xml:space="preserve"> side (including </w:t>
      </w:r>
      <w:proofErr w:type="spellStart"/>
      <w:r>
        <w:rPr>
          <w:rFonts w:ascii="Calibri" w:hAnsi="Calibri"/>
          <w:b/>
          <w:bCs/>
        </w:rPr>
        <w:t>subband</w:t>
      </w:r>
      <w:proofErr w:type="spellEnd"/>
      <w:r>
        <w:rPr>
          <w:rFonts w:ascii="Calibri" w:hAnsi="Calibri"/>
          <w:b/>
          <w:bCs/>
        </w:rPr>
        <w:t xml:space="preserve"> overlapping full duplex</w:t>
      </w:r>
      <w:r w:rsidR="00CE5DF3">
        <w:rPr>
          <w:rFonts w:ascii="Calibri" w:hAnsi="Calibri"/>
          <w:b/>
          <w:bCs/>
        </w:rPr>
        <w:t xml:space="preserve"> scenarios) in the Rel-17 </w:t>
      </w:r>
      <w:proofErr w:type="spellStart"/>
      <w:r w:rsidR="00CE5DF3">
        <w:rPr>
          <w:rFonts w:ascii="Calibri" w:hAnsi="Calibri"/>
          <w:b/>
          <w:bCs/>
        </w:rPr>
        <w:t>eIAB</w:t>
      </w:r>
      <w:proofErr w:type="spellEnd"/>
      <w:r w:rsidR="00CE5DF3">
        <w:rPr>
          <w:rFonts w:ascii="Calibri" w:hAnsi="Calibri"/>
          <w:b/>
          <w:bCs/>
        </w:rPr>
        <w:t xml:space="preserve"> work item.</w:t>
      </w:r>
    </w:p>
    <w:p w14:paraId="7CE8E375" w14:textId="1255418F" w:rsidR="001E1F7F" w:rsidRPr="007526CC" w:rsidRDefault="00CE5DF3" w:rsidP="001E1F7F">
      <w:pPr>
        <w:spacing w:line="288" w:lineRule="auto"/>
        <w:rPr>
          <w:rFonts w:ascii="Calibri" w:eastAsia="Malgun Gothic" w:hAnsi="Calibri" w:cs="Batang"/>
          <w:lang w:val="en-GB" w:eastAsia="ko-KR"/>
        </w:rPr>
      </w:pPr>
      <w:r>
        <w:rPr>
          <w:rFonts w:ascii="Calibri" w:eastAsia="Malgun Gothic" w:hAnsi="Calibri" w:cs="Batang"/>
          <w:lang w:val="en-GB" w:eastAsia="ko-KR"/>
        </w:rPr>
        <w:lastRenderedPageBreak/>
        <w:t xml:space="preserve">During the Rel-18 work item email discussions, </w:t>
      </w:r>
      <w:r w:rsidR="00C26B75">
        <w:rPr>
          <w:rFonts w:ascii="Calibri" w:eastAsia="Malgun Gothic" w:hAnsi="Calibri" w:cs="Batang"/>
          <w:lang w:val="en-GB" w:eastAsia="ko-KR"/>
        </w:rPr>
        <w:t xml:space="preserve">one </w:t>
      </w:r>
      <w:r>
        <w:rPr>
          <w:rFonts w:ascii="Calibri" w:eastAsia="Malgun Gothic" w:hAnsi="Calibri" w:cs="Batang"/>
          <w:lang w:val="en-GB" w:eastAsia="ko-KR"/>
        </w:rPr>
        <w:t>concern</w:t>
      </w:r>
      <w:r w:rsidR="00C26B75">
        <w:rPr>
          <w:rFonts w:ascii="Calibri" w:eastAsia="Malgun Gothic" w:hAnsi="Calibri" w:cs="Batang"/>
          <w:lang w:val="en-GB" w:eastAsia="ko-KR"/>
        </w:rPr>
        <w:t xml:space="preserve"> raised</w:t>
      </w:r>
      <w:r>
        <w:rPr>
          <w:rFonts w:ascii="Calibri" w:eastAsia="Malgun Gothic" w:hAnsi="Calibri" w:cs="Batang"/>
          <w:lang w:val="en-GB" w:eastAsia="ko-KR"/>
        </w:rPr>
        <w:t xml:space="preserve"> about including </w:t>
      </w:r>
      <w:proofErr w:type="spellStart"/>
      <w:r w:rsidRPr="00211595">
        <w:rPr>
          <w:rFonts w:ascii="Calibri" w:eastAsia="Malgun Gothic" w:hAnsi="Calibri" w:cs="Batang"/>
          <w:lang w:val="en-GB" w:eastAsia="ko-KR"/>
        </w:rPr>
        <w:t>subband</w:t>
      </w:r>
      <w:proofErr w:type="spellEnd"/>
      <w:r w:rsidRPr="00211595">
        <w:rPr>
          <w:rFonts w:ascii="Calibri" w:eastAsia="Malgun Gothic" w:hAnsi="Calibri" w:cs="Batang"/>
          <w:lang w:val="en-GB" w:eastAsia="ko-KR"/>
        </w:rPr>
        <w:t xml:space="preserve"> overlapping full duplex </w:t>
      </w:r>
      <w:r>
        <w:rPr>
          <w:rFonts w:ascii="Calibri" w:eastAsia="Malgun Gothic" w:hAnsi="Calibri" w:cs="Batang"/>
          <w:lang w:val="en-GB" w:eastAsia="ko-KR"/>
        </w:rPr>
        <w:t xml:space="preserve">as part of the study item scope </w:t>
      </w:r>
      <w:r w:rsidR="00C26B75">
        <w:rPr>
          <w:rFonts w:ascii="Calibri" w:eastAsia="Malgun Gothic" w:hAnsi="Calibri" w:cs="Batang"/>
          <w:lang w:val="en-GB" w:eastAsia="ko-KR"/>
        </w:rPr>
        <w:t xml:space="preserve">was </w:t>
      </w:r>
      <w:r>
        <w:rPr>
          <w:rFonts w:ascii="Calibri" w:eastAsia="Malgun Gothic" w:hAnsi="Calibri" w:cs="Batang"/>
          <w:lang w:val="en-GB" w:eastAsia="ko-KR"/>
        </w:rPr>
        <w:t xml:space="preserve">the feasibility. To address the first concern, we highlight </w:t>
      </w:r>
      <w:r w:rsidR="00C26B75">
        <w:rPr>
          <w:rFonts w:ascii="Calibri" w:eastAsia="Malgun Gothic" w:hAnsi="Calibri" w:cs="Batang"/>
          <w:lang w:val="en-GB" w:eastAsia="ko-KR"/>
        </w:rPr>
        <w:t xml:space="preserve">the following </w:t>
      </w:r>
      <w:r w:rsidR="00C26B75" w:rsidRPr="00C26B75">
        <w:rPr>
          <w:rFonts w:ascii="Calibri" w:eastAsia="Malgun Gothic" w:hAnsi="Calibri" w:cs="Batang"/>
          <w:lang w:val="en-GB" w:eastAsia="ko-KR"/>
        </w:rPr>
        <w:t xml:space="preserve">measurement and </w:t>
      </w:r>
      <w:proofErr w:type="spellStart"/>
      <w:r w:rsidR="00C26B75" w:rsidRPr="00C26B75">
        <w:rPr>
          <w:rFonts w:ascii="Calibri" w:eastAsia="Malgun Gothic" w:hAnsi="Calibri" w:cs="Batang"/>
          <w:lang w:val="en-GB" w:eastAsia="ko-KR"/>
        </w:rPr>
        <w:t>modeling</w:t>
      </w:r>
      <w:proofErr w:type="spellEnd"/>
      <w:r w:rsidR="00C26B75" w:rsidRPr="00C26B75">
        <w:rPr>
          <w:rFonts w:ascii="Calibri" w:eastAsia="Malgun Gothic" w:hAnsi="Calibri" w:cs="Batang"/>
          <w:lang w:val="en-GB" w:eastAsia="ko-KR"/>
        </w:rPr>
        <w:t xml:space="preserve"> campaign </w:t>
      </w:r>
      <w:r w:rsidR="00C26B75">
        <w:rPr>
          <w:rFonts w:ascii="Calibri" w:eastAsia="Malgun Gothic" w:hAnsi="Calibri" w:cs="Batang"/>
          <w:lang w:val="en-GB" w:eastAsia="ko-KR"/>
        </w:rPr>
        <w:t xml:space="preserve">which was conducted </w:t>
      </w:r>
      <w:r w:rsidR="00C26B75" w:rsidRPr="00C26B75">
        <w:rPr>
          <w:rFonts w:ascii="Calibri" w:eastAsia="Malgun Gothic" w:hAnsi="Calibri" w:cs="Batang"/>
          <w:lang w:val="en-GB" w:eastAsia="ko-KR"/>
        </w:rPr>
        <w:t xml:space="preserve">to characterize the impact of </w:t>
      </w:r>
      <w:proofErr w:type="spellStart"/>
      <w:r w:rsidR="00C26B75" w:rsidRPr="00C26B75">
        <w:rPr>
          <w:rFonts w:ascii="Calibri" w:eastAsia="Malgun Gothic" w:hAnsi="Calibri" w:cs="Batang"/>
          <w:lang w:val="en-GB" w:eastAsia="ko-KR"/>
        </w:rPr>
        <w:t>mmWave</w:t>
      </w:r>
      <w:proofErr w:type="spellEnd"/>
      <w:r w:rsidR="00C26B75" w:rsidRPr="00C26B75">
        <w:rPr>
          <w:rFonts w:ascii="Calibri" w:eastAsia="Malgun Gothic" w:hAnsi="Calibri" w:cs="Batang"/>
          <w:lang w:val="en-GB" w:eastAsia="ko-KR"/>
        </w:rPr>
        <w:t xml:space="preserve"> beamforming on full duplex self-interference in order to evaluate the resulting system performance potential</w:t>
      </w:r>
      <w:r w:rsidR="00C26B75">
        <w:rPr>
          <w:rFonts w:ascii="Calibri" w:eastAsia="Malgun Gothic" w:hAnsi="Calibri" w:cs="Batang"/>
          <w:lang w:val="en-GB" w:eastAsia="ko-KR"/>
        </w:rPr>
        <w:t xml:space="preserve"> and was submitted to RAN1 during the Rel-17 </w:t>
      </w:r>
      <w:proofErr w:type="spellStart"/>
      <w:r w:rsidR="00C26B75">
        <w:rPr>
          <w:rFonts w:ascii="Calibri" w:eastAsia="Malgun Gothic" w:hAnsi="Calibri" w:cs="Batang"/>
          <w:lang w:val="en-GB" w:eastAsia="ko-KR"/>
        </w:rPr>
        <w:t>eIAB</w:t>
      </w:r>
      <w:proofErr w:type="spellEnd"/>
      <w:r w:rsidR="00C26B75">
        <w:rPr>
          <w:rFonts w:ascii="Calibri" w:eastAsia="Malgun Gothic" w:hAnsi="Calibri" w:cs="Batang"/>
          <w:lang w:val="en-GB" w:eastAsia="ko-KR"/>
        </w:rPr>
        <w:t xml:space="preserve"> work item [2].</w:t>
      </w:r>
      <w:r w:rsidR="00C26B75" w:rsidRPr="007526CC">
        <w:rPr>
          <w:rFonts w:ascii="Calibri" w:eastAsia="Malgun Gothic" w:hAnsi="Calibri" w:cs="Batang"/>
          <w:lang w:val="en-GB" w:eastAsia="ko-KR"/>
        </w:rPr>
        <w:t xml:space="preserve"> </w:t>
      </w:r>
      <w:r w:rsidR="00C26B75">
        <w:rPr>
          <w:rFonts w:ascii="Calibri" w:eastAsia="Malgun Gothic" w:hAnsi="Calibri" w:cs="Batang"/>
          <w:lang w:val="en-GB" w:eastAsia="ko-KR"/>
        </w:rPr>
        <w:t xml:space="preserve">A </w:t>
      </w:r>
      <w:r w:rsidR="001E1F7F" w:rsidRPr="007526CC">
        <w:rPr>
          <w:rFonts w:ascii="Calibri" w:eastAsia="Malgun Gothic" w:hAnsi="Calibri" w:cs="Batang"/>
          <w:lang w:val="en-GB" w:eastAsia="ko-KR"/>
        </w:rPr>
        <w:t xml:space="preserve">multiple phased </w:t>
      </w:r>
      <w:proofErr w:type="gramStart"/>
      <w:r w:rsidR="001E1F7F" w:rsidRPr="007526CC">
        <w:rPr>
          <w:rFonts w:ascii="Calibri" w:eastAsia="Malgun Gothic" w:hAnsi="Calibri" w:cs="Batang"/>
          <w:lang w:val="en-GB" w:eastAsia="ko-KR"/>
        </w:rPr>
        <w:t>array based</w:t>
      </w:r>
      <w:proofErr w:type="gramEnd"/>
      <w:r w:rsidR="001E1F7F" w:rsidRPr="007526CC">
        <w:rPr>
          <w:rFonts w:ascii="Calibri" w:eastAsia="Malgun Gothic" w:hAnsi="Calibri" w:cs="Batang"/>
          <w:lang w:val="en-GB" w:eastAsia="ko-KR"/>
        </w:rPr>
        <w:t xml:space="preserve"> SI measurement setup is shown in Figure </w:t>
      </w:r>
      <w:r w:rsidR="00C26B75">
        <w:rPr>
          <w:rFonts w:ascii="Calibri" w:eastAsia="Malgun Gothic" w:hAnsi="Calibri" w:cs="Batang"/>
          <w:lang w:val="en-GB" w:eastAsia="ko-KR"/>
        </w:rPr>
        <w:t>2</w:t>
      </w:r>
      <w:r w:rsidR="001E1F7F" w:rsidRPr="007526CC">
        <w:rPr>
          <w:rFonts w:ascii="Calibri" w:eastAsia="Malgun Gothic" w:hAnsi="Calibri" w:cs="Batang"/>
          <w:lang w:val="en-GB" w:eastAsia="ko-KR"/>
        </w:rPr>
        <w:t xml:space="preserve">, with a total of 4 phased arrays arranged in a rectangular orientation. One of these arrays operates as a transmitter and the remaining three arrays are simultaneously receiving. The phased arrays operate in the 28GHz </w:t>
      </w:r>
      <w:proofErr w:type="gramStart"/>
      <w:r w:rsidR="001E1F7F" w:rsidRPr="007526CC">
        <w:rPr>
          <w:rFonts w:ascii="Calibri" w:eastAsia="Malgun Gothic" w:hAnsi="Calibri" w:cs="Batang"/>
          <w:lang w:val="en-GB" w:eastAsia="ko-KR"/>
        </w:rPr>
        <w:t>band</w:t>
      </w:r>
      <w:proofErr w:type="gramEnd"/>
      <w:r w:rsidR="001E1F7F" w:rsidRPr="007526CC">
        <w:rPr>
          <w:rFonts w:ascii="Calibri" w:eastAsia="Malgun Gothic" w:hAnsi="Calibri" w:cs="Batang"/>
          <w:lang w:val="en-GB" w:eastAsia="ko-KR"/>
        </w:rPr>
        <w:t xml:space="preserve"> and the system is placed inside of an anechoic chamber. A known sounding signal is transmitted out of the TX array, and the receivers correlate with the known signal to accurately estimate the received power. </w:t>
      </w:r>
    </w:p>
    <w:p w14:paraId="0D6B0062" w14:textId="77777777" w:rsidR="001E1F7F" w:rsidRDefault="001E1F7F" w:rsidP="001E1F7F">
      <w:pPr>
        <w:keepNext/>
        <w:jc w:val="center"/>
      </w:pPr>
      <w:r w:rsidRPr="00D16765">
        <w:rPr>
          <w:noProof/>
        </w:rPr>
        <w:drawing>
          <wp:inline distT="0" distB="0" distL="0" distR="0" wp14:anchorId="2C22BE38" wp14:editId="078D47C3">
            <wp:extent cx="3173730" cy="1756886"/>
            <wp:effectExtent l="0" t="0" r="127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25072" cy="1785308"/>
                    </a:xfrm>
                    <a:prstGeom prst="rect">
                      <a:avLst/>
                    </a:prstGeom>
                  </pic:spPr>
                </pic:pic>
              </a:graphicData>
            </a:graphic>
          </wp:inline>
        </w:drawing>
      </w:r>
    </w:p>
    <w:p w14:paraId="5CFA7343" w14:textId="4BC2FCFC" w:rsidR="001E1F7F" w:rsidRPr="00C26B75" w:rsidRDefault="001E1F7F" w:rsidP="001E1F7F">
      <w:pPr>
        <w:pStyle w:val="Caption"/>
        <w:rPr>
          <w:rFonts w:asciiTheme="minorHAnsi" w:hAnsiTheme="minorHAnsi" w:cstheme="minorHAnsi"/>
          <w:sz w:val="20"/>
        </w:rPr>
      </w:pPr>
      <w:r w:rsidRPr="00C26B75">
        <w:rPr>
          <w:rFonts w:asciiTheme="minorHAnsi" w:hAnsiTheme="minorHAnsi" w:cstheme="minorHAnsi"/>
          <w:sz w:val="20"/>
        </w:rPr>
        <w:t xml:space="preserve">Figure </w:t>
      </w:r>
      <w:r w:rsidR="00180823" w:rsidRPr="00C26B75">
        <w:rPr>
          <w:rFonts w:asciiTheme="minorHAnsi" w:hAnsiTheme="minorHAnsi" w:cstheme="minorHAnsi"/>
          <w:sz w:val="20"/>
        </w:rPr>
        <w:t>2.</w:t>
      </w:r>
      <w:r w:rsidRPr="00C26B75">
        <w:rPr>
          <w:rFonts w:asciiTheme="minorHAnsi" w:hAnsiTheme="minorHAnsi" w:cstheme="minorHAnsi"/>
          <w:sz w:val="20"/>
        </w:rPr>
        <w:t xml:space="preserve"> Top view of 28GHz phased array based Self Interference measurement system.</w:t>
      </w:r>
    </w:p>
    <w:p w14:paraId="1771D856" w14:textId="0D9CFC2E" w:rsidR="001E1F7F" w:rsidRPr="00D16765" w:rsidRDefault="001E1F7F" w:rsidP="00F4404C">
      <w:pPr>
        <w:spacing w:line="288" w:lineRule="auto"/>
        <w:rPr>
          <w:rFonts w:ascii="Calibri" w:eastAsia="Malgun Gothic" w:hAnsi="Calibri" w:cs="Batang"/>
          <w:lang w:val="en-GB" w:eastAsia="ko-KR"/>
        </w:rPr>
      </w:pPr>
      <w:r w:rsidRPr="00726566">
        <w:rPr>
          <w:rFonts w:ascii="Calibri" w:eastAsia="Malgun Gothic" w:hAnsi="Calibri" w:cs="Batang"/>
          <w:lang w:val="en-GB" w:eastAsia="ko-KR"/>
        </w:rPr>
        <w:t>Measuring the received power for each pair of transmit and receive beams</w:t>
      </w:r>
      <w:r>
        <w:rPr>
          <w:rFonts w:ascii="Calibri" w:eastAsia="Malgun Gothic" w:hAnsi="Calibri" w:cs="Batang"/>
          <w:lang w:val="en-GB" w:eastAsia="ko-KR"/>
        </w:rPr>
        <w:t xml:space="preserve"> illustrates whether certain</w:t>
      </w:r>
      <w:r w:rsidRPr="00726566">
        <w:rPr>
          <w:rFonts w:ascii="Calibri" w:eastAsia="Malgun Gothic" w:hAnsi="Calibri" w:cs="Batang"/>
          <w:lang w:val="en-GB" w:eastAsia="ko-KR"/>
        </w:rPr>
        <w:t xml:space="preserve"> beam pairs lead to higher degrees of self-interference (i.e., less isolation).</w:t>
      </w:r>
      <w:r>
        <w:rPr>
          <w:rFonts w:ascii="Calibri" w:eastAsia="Malgun Gothic" w:hAnsi="Calibri" w:cs="Batang"/>
          <w:lang w:val="en-GB" w:eastAsia="ko-KR"/>
        </w:rPr>
        <w:t xml:space="preserve"> This is shown in </w:t>
      </w:r>
      <w:r w:rsidRPr="00726566">
        <w:rPr>
          <w:rFonts w:ascii="Calibri" w:eastAsia="Malgun Gothic" w:hAnsi="Calibri" w:cs="Batang"/>
          <w:lang w:val="en-GB" w:eastAsia="ko-KR"/>
        </w:rPr>
        <w:t xml:space="preserve">Figure </w:t>
      </w:r>
      <w:r w:rsidR="00C26B75">
        <w:rPr>
          <w:rFonts w:ascii="Calibri" w:eastAsia="Malgun Gothic" w:hAnsi="Calibri" w:cs="Batang"/>
          <w:lang w:val="en-GB" w:eastAsia="ko-KR"/>
        </w:rPr>
        <w:t>3</w:t>
      </w:r>
      <w:r w:rsidRPr="00726566">
        <w:rPr>
          <w:rFonts w:ascii="Calibri" w:eastAsia="Malgun Gothic" w:hAnsi="Calibri" w:cs="Batang"/>
          <w:lang w:val="en-GB" w:eastAsia="ko-KR"/>
        </w:rPr>
        <w:t xml:space="preserve">, where brighter pixels indicate high </w:t>
      </w:r>
      <w:r>
        <w:rPr>
          <w:rFonts w:ascii="Calibri" w:eastAsia="Malgun Gothic" w:hAnsi="Calibri" w:cs="Batang"/>
          <w:lang w:val="en-GB" w:eastAsia="ko-KR"/>
        </w:rPr>
        <w:t xml:space="preserve">interference </w:t>
      </w:r>
      <w:r w:rsidRPr="00726566">
        <w:rPr>
          <w:rFonts w:ascii="Calibri" w:eastAsia="Malgun Gothic" w:hAnsi="Calibri" w:cs="Batang"/>
          <w:lang w:val="en-GB" w:eastAsia="ko-KR"/>
        </w:rPr>
        <w:t>and darker pixels indicate low levels</w:t>
      </w:r>
      <w:r>
        <w:rPr>
          <w:rFonts w:ascii="Calibri" w:eastAsia="Malgun Gothic" w:hAnsi="Calibri" w:cs="Batang"/>
          <w:lang w:val="en-GB" w:eastAsia="ko-KR"/>
        </w:rPr>
        <w:t xml:space="preserve"> with</w:t>
      </w:r>
      <w:r w:rsidRPr="00726566">
        <w:rPr>
          <w:rFonts w:ascii="Calibri" w:eastAsia="Malgun Gothic" w:hAnsi="Calibri" w:cs="Batang"/>
          <w:lang w:val="en-GB" w:eastAsia="ko-KR"/>
        </w:rPr>
        <w:t xml:space="preserve"> approximately </w:t>
      </w:r>
      <w:r w:rsidR="00F4404C">
        <w:rPr>
          <w:rFonts w:ascii="Calibri" w:eastAsia="Malgun Gothic" w:hAnsi="Calibri" w:cs="Batang"/>
          <w:lang w:val="en-GB" w:eastAsia="ko-KR"/>
        </w:rPr>
        <w:t>20</w:t>
      </w:r>
      <w:r w:rsidRPr="00726566">
        <w:rPr>
          <w:rFonts w:ascii="Calibri" w:eastAsia="Malgun Gothic" w:hAnsi="Calibri" w:cs="Batang"/>
          <w:lang w:val="en-GB" w:eastAsia="ko-KR"/>
        </w:rPr>
        <w:t xml:space="preserve"> dB of dynamic range.</w:t>
      </w:r>
      <w:r>
        <w:rPr>
          <w:rFonts w:ascii="Calibri" w:eastAsia="Malgun Gothic" w:hAnsi="Calibri" w:cs="Batang"/>
          <w:lang w:val="en-GB" w:eastAsia="ko-KR"/>
        </w:rPr>
        <w:t xml:space="preserve"> </w:t>
      </w:r>
      <w:r w:rsidR="00F4404C">
        <w:rPr>
          <w:rFonts w:ascii="Calibri" w:eastAsia="Malgun Gothic" w:hAnsi="Calibri" w:cs="Batang"/>
          <w:lang w:val="en-GB" w:eastAsia="ko-KR"/>
        </w:rPr>
        <w:t xml:space="preserve">Figure </w:t>
      </w:r>
      <w:r w:rsidR="00C26B75">
        <w:rPr>
          <w:rFonts w:ascii="Calibri" w:eastAsia="Malgun Gothic" w:hAnsi="Calibri" w:cs="Batang"/>
          <w:lang w:val="en-GB" w:eastAsia="ko-KR"/>
        </w:rPr>
        <w:t>3</w:t>
      </w:r>
      <w:r w:rsidR="00F4404C">
        <w:rPr>
          <w:rFonts w:ascii="Calibri" w:eastAsia="Malgun Gothic" w:hAnsi="Calibri" w:cs="Batang"/>
          <w:lang w:val="en-GB" w:eastAsia="ko-KR"/>
        </w:rPr>
        <w:t xml:space="preserve"> further</w:t>
      </w:r>
      <w:r>
        <w:rPr>
          <w:rFonts w:ascii="Calibri" w:eastAsia="Malgun Gothic" w:hAnsi="Calibri" w:cs="Batang"/>
          <w:lang w:val="en-GB" w:eastAsia="ko-KR"/>
        </w:rPr>
        <w:t xml:space="preserve"> illustrates </w:t>
      </w:r>
      <w:r w:rsidRPr="00726566">
        <w:rPr>
          <w:rFonts w:ascii="Calibri" w:eastAsia="Malgun Gothic" w:hAnsi="Calibri" w:cs="Batang"/>
          <w:lang w:val="en-GB" w:eastAsia="ko-KR"/>
        </w:rPr>
        <w:t xml:space="preserve">the directional nature of </w:t>
      </w:r>
      <w:r w:rsidR="00C26B75">
        <w:rPr>
          <w:rFonts w:ascii="Calibri" w:eastAsia="Malgun Gothic" w:hAnsi="Calibri" w:cs="Batang"/>
          <w:lang w:val="en-GB" w:eastAsia="ko-KR"/>
        </w:rPr>
        <w:t>the</w:t>
      </w:r>
      <w:r w:rsidRPr="00726566">
        <w:rPr>
          <w:rFonts w:ascii="Calibri" w:eastAsia="Malgun Gothic" w:hAnsi="Calibri" w:cs="Batang"/>
          <w:lang w:val="en-GB" w:eastAsia="ko-KR"/>
        </w:rPr>
        <w:t xml:space="preserve"> measurements</w:t>
      </w:r>
      <w:r>
        <w:rPr>
          <w:rFonts w:ascii="Calibri" w:eastAsia="Malgun Gothic" w:hAnsi="Calibri" w:cs="Batang"/>
          <w:lang w:val="en-GB" w:eastAsia="ko-KR"/>
        </w:rPr>
        <w:t xml:space="preserve"> by plotting</w:t>
      </w:r>
      <w:r w:rsidRPr="00726566">
        <w:rPr>
          <w:rFonts w:ascii="Calibri" w:eastAsia="Malgun Gothic" w:hAnsi="Calibri" w:cs="Batang"/>
          <w:lang w:val="en-GB" w:eastAsia="ko-KR"/>
        </w:rPr>
        <w:t xml:space="preserve"> the mean received power for each of the transmit beams</w:t>
      </w:r>
      <w:r>
        <w:rPr>
          <w:rFonts w:ascii="Calibri" w:eastAsia="Malgun Gothic" w:hAnsi="Calibri" w:cs="Batang"/>
          <w:lang w:val="en-GB" w:eastAsia="ko-KR"/>
        </w:rPr>
        <w:t xml:space="preserve"> at</w:t>
      </w:r>
      <w:r w:rsidRPr="00726566">
        <w:rPr>
          <w:rFonts w:ascii="Calibri" w:eastAsia="Malgun Gothic" w:hAnsi="Calibri" w:cs="Batang"/>
          <w:lang w:val="en-GB" w:eastAsia="ko-KR"/>
        </w:rPr>
        <w:t xml:space="preserve"> Receiver 1</w:t>
      </w:r>
      <w:r>
        <w:rPr>
          <w:rFonts w:ascii="Calibri" w:eastAsia="Malgun Gothic" w:hAnsi="Calibri" w:cs="Batang"/>
          <w:lang w:val="en-GB" w:eastAsia="ko-KR"/>
        </w:rPr>
        <w:t xml:space="preserve"> </w:t>
      </w:r>
      <w:r w:rsidRPr="00726566">
        <w:rPr>
          <w:rFonts w:ascii="Calibri" w:eastAsia="Malgun Gothic" w:hAnsi="Calibri" w:cs="Batang"/>
          <w:lang w:val="en-GB" w:eastAsia="ko-KR"/>
        </w:rPr>
        <w:t>from the transmitter's perspective.</w:t>
      </w:r>
      <w:r>
        <w:rPr>
          <w:rFonts w:ascii="Calibri" w:eastAsia="Malgun Gothic" w:hAnsi="Calibri" w:cs="Batang"/>
          <w:lang w:val="en-GB" w:eastAsia="ko-KR"/>
        </w:rPr>
        <w:t xml:space="preserve"> The</w:t>
      </w:r>
      <w:r w:rsidRPr="00726566">
        <w:rPr>
          <w:rFonts w:ascii="Calibri" w:eastAsia="Malgun Gothic" w:hAnsi="Calibri" w:cs="Batang"/>
          <w:lang w:val="en-GB" w:eastAsia="ko-KR"/>
        </w:rPr>
        <w:t xml:space="preserve"> range</w:t>
      </w:r>
      <w:r>
        <w:rPr>
          <w:rFonts w:ascii="Calibri" w:eastAsia="Malgun Gothic" w:hAnsi="Calibri" w:cs="Batang"/>
          <w:lang w:val="en-GB" w:eastAsia="ko-KR"/>
        </w:rPr>
        <w:t xml:space="preserve"> is</w:t>
      </w:r>
      <w:r w:rsidRPr="00726566">
        <w:rPr>
          <w:rFonts w:ascii="Calibri" w:eastAsia="Malgun Gothic" w:hAnsi="Calibri" w:cs="Batang"/>
          <w:lang w:val="en-GB" w:eastAsia="ko-KR"/>
        </w:rPr>
        <w:t xml:space="preserve"> from approximately -66 dBm to -46 dBm</w:t>
      </w:r>
      <w:r>
        <w:rPr>
          <w:rFonts w:ascii="Calibri" w:eastAsia="Malgun Gothic" w:hAnsi="Calibri" w:cs="Batang"/>
          <w:lang w:val="en-GB" w:eastAsia="ko-KR"/>
        </w:rPr>
        <w:t xml:space="preserve"> the</w:t>
      </w:r>
      <w:r w:rsidRPr="00726566">
        <w:rPr>
          <w:rFonts w:ascii="Calibri" w:eastAsia="Malgun Gothic" w:hAnsi="Calibri" w:cs="Batang"/>
          <w:lang w:val="en-GB" w:eastAsia="ko-KR"/>
        </w:rPr>
        <w:t xml:space="preserve"> higher received powers on average stem from beams pointing in the left half of space, whereas more isolation is achieved when the transmitting panel steers to the right.</w:t>
      </w:r>
      <w:r>
        <w:rPr>
          <w:rFonts w:ascii="Calibri" w:eastAsia="Malgun Gothic" w:hAnsi="Calibri" w:cs="Batang"/>
          <w:lang w:val="en-GB" w:eastAsia="ko-KR"/>
        </w:rPr>
        <w:t xml:space="preserve"> </w:t>
      </w:r>
      <w:r w:rsidRPr="00726566">
        <w:rPr>
          <w:rFonts w:ascii="Calibri" w:eastAsia="Malgun Gothic" w:hAnsi="Calibri" w:cs="Batang"/>
          <w:lang w:val="en-GB" w:eastAsia="ko-KR"/>
        </w:rPr>
        <w:t>This can likely be attributed to the fact the Receiver 1 sits to the left of the transmitt</w:t>
      </w:r>
      <w:r>
        <w:rPr>
          <w:rFonts w:ascii="Calibri" w:eastAsia="Malgun Gothic" w:hAnsi="Calibri" w:cs="Batang"/>
          <w:lang w:val="en-GB" w:eastAsia="ko-KR"/>
        </w:rPr>
        <w:t>ing panel</w:t>
      </w:r>
      <w:r w:rsidRPr="00726566">
        <w:rPr>
          <w:rFonts w:ascii="Calibri" w:eastAsia="Malgun Gothic" w:hAnsi="Calibri" w:cs="Batang"/>
          <w:lang w:val="en-GB" w:eastAsia="ko-KR"/>
        </w:rPr>
        <w:t>, suggesting that some of the directionality in the far-field exists in even in</w:t>
      </w:r>
      <w:r>
        <w:rPr>
          <w:rFonts w:ascii="Calibri" w:eastAsia="Malgun Gothic" w:hAnsi="Calibri" w:cs="Batang"/>
          <w:lang w:val="en-GB" w:eastAsia="ko-KR"/>
        </w:rPr>
        <w:t xml:space="preserve"> the </w:t>
      </w:r>
      <w:proofErr w:type="gramStart"/>
      <w:r>
        <w:rPr>
          <w:rFonts w:ascii="Calibri" w:eastAsia="Malgun Gothic" w:hAnsi="Calibri" w:cs="Batang"/>
          <w:lang w:val="en-GB" w:eastAsia="ko-KR"/>
        </w:rPr>
        <w:t>close</w:t>
      </w:r>
      <w:r w:rsidRPr="00726566">
        <w:rPr>
          <w:rFonts w:ascii="Calibri" w:eastAsia="Malgun Gothic" w:hAnsi="Calibri" w:cs="Batang"/>
          <w:lang w:val="en-GB" w:eastAsia="ko-KR"/>
        </w:rPr>
        <w:t xml:space="preserve"> proximity</w:t>
      </w:r>
      <w:proofErr w:type="gramEnd"/>
      <w:r w:rsidRPr="00726566">
        <w:rPr>
          <w:rFonts w:ascii="Calibri" w:eastAsia="Malgun Gothic" w:hAnsi="Calibri" w:cs="Batang"/>
          <w:lang w:val="en-GB" w:eastAsia="ko-KR"/>
        </w:rPr>
        <w:t xml:space="preserve"> between panels.</w:t>
      </w:r>
    </w:p>
    <w:p w14:paraId="05851C22" w14:textId="77777777" w:rsidR="001E1F7F" w:rsidRPr="00D16765" w:rsidRDefault="001E1F7F" w:rsidP="001E1F7F">
      <w:pPr>
        <w:jc w:val="center"/>
        <w:rPr>
          <w:rFonts w:eastAsia="Malgun Gothic"/>
          <w:lang w:val="en-GB" w:eastAsia="ko-KR"/>
        </w:rPr>
      </w:pPr>
      <w:r>
        <w:rPr>
          <w:rFonts w:ascii="Calibri" w:hAnsi="Calibri"/>
          <w:noProof/>
        </w:rPr>
        <w:drawing>
          <wp:inline distT="0" distB="0" distL="0" distR="0" wp14:anchorId="2BB7016A" wp14:editId="318F097B">
            <wp:extent cx="3116630" cy="2337473"/>
            <wp:effectExtent l="0" t="0" r="0" b="0"/>
            <wp:docPr id="40" name="Picture 4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34574" cy="2350931"/>
                    </a:xfrm>
                    <a:prstGeom prst="rect">
                      <a:avLst/>
                    </a:prstGeom>
                  </pic:spPr>
                </pic:pic>
              </a:graphicData>
            </a:graphic>
          </wp:inline>
        </w:drawing>
      </w:r>
    </w:p>
    <w:p w14:paraId="7C796830" w14:textId="77777777" w:rsidR="00C26B75" w:rsidRDefault="001E1F7F" w:rsidP="00C26B75">
      <w:pPr>
        <w:pStyle w:val="Caption"/>
        <w:rPr>
          <w:rFonts w:ascii="Calibri" w:eastAsia="Malgun Gothic" w:hAnsi="Calibri" w:cs="Batang"/>
          <w:sz w:val="20"/>
          <w:lang w:eastAsia="ko-KR"/>
        </w:rPr>
      </w:pPr>
      <w:r w:rsidRPr="00C26B75">
        <w:rPr>
          <w:rFonts w:asciiTheme="minorHAnsi" w:hAnsiTheme="minorHAnsi" w:cstheme="minorHAnsi"/>
          <w:sz w:val="20"/>
        </w:rPr>
        <w:t xml:space="preserve">Figure </w:t>
      </w:r>
      <w:r w:rsidR="00180823" w:rsidRPr="00C26B75">
        <w:rPr>
          <w:rFonts w:asciiTheme="minorHAnsi" w:hAnsiTheme="minorHAnsi" w:cstheme="minorHAnsi"/>
          <w:sz w:val="20"/>
        </w:rPr>
        <w:t>3.</w:t>
      </w:r>
      <w:r w:rsidRPr="00C26B75">
        <w:rPr>
          <w:rFonts w:asciiTheme="minorHAnsi" w:hAnsiTheme="minorHAnsi" w:cstheme="minorHAnsi"/>
          <w:sz w:val="20"/>
        </w:rPr>
        <w:t xml:space="preserve"> </w:t>
      </w:r>
      <w:r w:rsidRPr="00C26B75">
        <w:rPr>
          <w:rFonts w:ascii="Calibri" w:eastAsia="Malgun Gothic" w:hAnsi="Calibri" w:cs="Batang"/>
          <w:sz w:val="20"/>
          <w:lang w:eastAsia="ko-KR"/>
        </w:rPr>
        <w:t>Mean received power at Receiver 1 as a function of direction</w:t>
      </w:r>
    </w:p>
    <w:p w14:paraId="15AEFDC6" w14:textId="51561E94" w:rsidR="001E1F7F" w:rsidRPr="00C26B75" w:rsidRDefault="001E1F7F" w:rsidP="00C26B75">
      <w:pPr>
        <w:pStyle w:val="maintext"/>
        <w:ind w:firstLineChars="0" w:firstLine="0"/>
        <w:rPr>
          <w:rFonts w:ascii="Calibri" w:hAnsi="Calibri"/>
          <w:b/>
          <w:bCs/>
        </w:rPr>
      </w:pPr>
      <w:r w:rsidRPr="00D16765">
        <w:rPr>
          <w:rFonts w:ascii="Calibri" w:hAnsi="Calibri"/>
          <w:b/>
          <w:bCs/>
        </w:rPr>
        <w:t>Observation</w:t>
      </w:r>
      <w:r>
        <w:rPr>
          <w:rFonts w:ascii="Calibri" w:hAnsi="Calibri"/>
          <w:b/>
          <w:bCs/>
        </w:rPr>
        <w:t xml:space="preserve"> </w:t>
      </w:r>
      <w:r w:rsidR="00C26B75">
        <w:rPr>
          <w:rFonts w:ascii="Calibri" w:hAnsi="Calibri"/>
          <w:b/>
          <w:bCs/>
        </w:rPr>
        <w:t>2</w:t>
      </w:r>
      <w:r w:rsidRPr="00D16765">
        <w:rPr>
          <w:rFonts w:ascii="Calibri" w:hAnsi="Calibri"/>
          <w:b/>
          <w:bCs/>
        </w:rPr>
        <w:t>:</w:t>
      </w:r>
      <w:r w:rsidRPr="00C26B75">
        <w:rPr>
          <w:rFonts w:ascii="Calibri" w:hAnsi="Calibri"/>
          <w:b/>
          <w:bCs/>
        </w:rPr>
        <w:t xml:space="preserve"> </w:t>
      </w:r>
      <w:r>
        <w:rPr>
          <w:rFonts w:ascii="Calibri" w:hAnsi="Calibri"/>
          <w:b/>
          <w:bCs/>
        </w:rPr>
        <w:t xml:space="preserve">Multiple factors including antenna design, beam/panel selection, and </w:t>
      </w:r>
      <w:proofErr w:type="spellStart"/>
      <w:r w:rsidR="00C26B75">
        <w:rPr>
          <w:rFonts w:ascii="Calibri" w:hAnsi="Calibri"/>
          <w:b/>
          <w:bCs/>
        </w:rPr>
        <w:t>gNB</w:t>
      </w:r>
      <w:proofErr w:type="spellEnd"/>
      <w:r>
        <w:rPr>
          <w:rFonts w:ascii="Calibri" w:hAnsi="Calibri"/>
          <w:b/>
          <w:bCs/>
        </w:rPr>
        <w:t xml:space="preserve"> </w:t>
      </w:r>
      <w:r w:rsidR="00C26B75">
        <w:rPr>
          <w:rFonts w:ascii="Calibri" w:hAnsi="Calibri"/>
          <w:b/>
          <w:bCs/>
        </w:rPr>
        <w:t xml:space="preserve">array </w:t>
      </w:r>
      <w:r>
        <w:rPr>
          <w:rFonts w:ascii="Calibri" w:hAnsi="Calibri"/>
          <w:b/>
          <w:bCs/>
        </w:rPr>
        <w:t xml:space="preserve">geometry can influence the extent of cross-link and self-interference experienced when </w:t>
      </w:r>
      <w:proofErr w:type="spellStart"/>
      <w:r w:rsidR="00C26B75">
        <w:rPr>
          <w:rFonts w:ascii="Calibri" w:hAnsi="Calibri"/>
          <w:b/>
          <w:bCs/>
        </w:rPr>
        <w:t>subband</w:t>
      </w:r>
      <w:proofErr w:type="spellEnd"/>
      <w:r w:rsidR="00C26B75">
        <w:rPr>
          <w:rFonts w:ascii="Calibri" w:hAnsi="Calibri"/>
          <w:b/>
          <w:bCs/>
        </w:rPr>
        <w:t xml:space="preserve"> overlapping full duplex</w:t>
      </w:r>
      <w:r>
        <w:rPr>
          <w:rFonts w:ascii="Calibri" w:hAnsi="Calibri"/>
          <w:b/>
          <w:bCs/>
        </w:rPr>
        <w:t xml:space="preserve"> operation is supported.</w:t>
      </w:r>
    </w:p>
    <w:p w14:paraId="0985EF95" w14:textId="56549862" w:rsidR="00A76D14" w:rsidRDefault="00A76D14" w:rsidP="00F35DD7">
      <w:pPr>
        <w:spacing w:before="0" w:after="0" w:line="288" w:lineRule="auto"/>
        <w:rPr>
          <w:rFonts w:ascii="Calibri" w:hAnsi="Calibri"/>
          <w:color w:val="000000"/>
          <w:kern w:val="24"/>
        </w:rPr>
      </w:pPr>
      <w:r>
        <w:rPr>
          <w:rFonts w:ascii="Calibri" w:eastAsia="Malgun Gothic" w:hAnsi="Calibri" w:cs="Batang"/>
          <w:lang w:val="en-GB" w:eastAsia="ko-KR"/>
        </w:rPr>
        <w:lastRenderedPageBreak/>
        <w:t xml:space="preserve">A second concern raised during the Rel-18 work item email discussions about including </w:t>
      </w:r>
      <w:proofErr w:type="spellStart"/>
      <w:r w:rsidRPr="00211595">
        <w:rPr>
          <w:rFonts w:ascii="Calibri" w:eastAsia="Malgun Gothic" w:hAnsi="Calibri" w:cs="Batang"/>
          <w:lang w:val="en-GB" w:eastAsia="ko-KR"/>
        </w:rPr>
        <w:t>subband</w:t>
      </w:r>
      <w:proofErr w:type="spellEnd"/>
      <w:r w:rsidRPr="00211595">
        <w:rPr>
          <w:rFonts w:ascii="Calibri" w:eastAsia="Malgun Gothic" w:hAnsi="Calibri" w:cs="Batang"/>
          <w:lang w:val="en-GB" w:eastAsia="ko-KR"/>
        </w:rPr>
        <w:t xml:space="preserve"> overlapping full duplex </w:t>
      </w:r>
      <w:r>
        <w:rPr>
          <w:rFonts w:ascii="Calibri" w:eastAsia="Malgun Gothic" w:hAnsi="Calibri" w:cs="Batang"/>
          <w:lang w:val="en-GB" w:eastAsia="ko-KR"/>
        </w:rPr>
        <w:t xml:space="preserve">as part of the study item scope was and the amount of study and specification effort required. </w:t>
      </w:r>
      <w:r w:rsidR="00F7084A">
        <w:rPr>
          <w:rFonts w:ascii="Calibri" w:eastAsia="Malgun Gothic" w:hAnsi="Calibri" w:cs="Batang"/>
          <w:lang w:val="en-GB" w:eastAsia="ko-KR"/>
        </w:rPr>
        <w:t>The Rel-18 discussion moderator has proposed the following objectives for non-overlapping full duplex:</w:t>
      </w:r>
    </w:p>
    <w:p w14:paraId="0B03E98B" w14:textId="30234267" w:rsidR="00A76D14" w:rsidRDefault="00A76D14" w:rsidP="00F35DD7">
      <w:pPr>
        <w:spacing w:before="0" w:after="0" w:line="288" w:lineRule="auto"/>
        <w:rPr>
          <w:rFonts w:ascii="Calibri" w:hAnsi="Calibri"/>
          <w:color w:val="000000"/>
          <w:kern w:val="24"/>
        </w:rPr>
      </w:pPr>
    </w:p>
    <w:p w14:paraId="3717FE1C" w14:textId="77777777" w:rsidR="00A76D14" w:rsidRPr="00211595" w:rsidRDefault="00A76D14" w:rsidP="00A76D14">
      <w:pPr>
        <w:pStyle w:val="ListParagraph"/>
        <w:numPr>
          <w:ilvl w:val="0"/>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 xml:space="preserve">Study the </w:t>
      </w:r>
      <w:proofErr w:type="spellStart"/>
      <w:r w:rsidRPr="00211595">
        <w:rPr>
          <w:rFonts w:ascii="Calibri" w:eastAsia="Malgun Gothic" w:hAnsi="Calibri" w:cs="Batang"/>
          <w:lang w:val="en-GB" w:eastAsia="ko-KR"/>
        </w:rPr>
        <w:t>subband</w:t>
      </w:r>
      <w:proofErr w:type="spellEnd"/>
      <w:r w:rsidRPr="00211595">
        <w:rPr>
          <w:rFonts w:ascii="Calibri" w:eastAsia="Malgun Gothic" w:hAnsi="Calibri" w:cs="Batang"/>
          <w:lang w:val="en-GB" w:eastAsia="ko-KR"/>
        </w:rPr>
        <w:t xml:space="preserve"> non-overlapping full duplex and potential enhancements on dynamic/flexible TDD.</w:t>
      </w:r>
    </w:p>
    <w:p w14:paraId="2E7C3E75" w14:textId="77777777" w:rsidR="00A76D14" w:rsidRPr="00211595" w:rsidRDefault="00A76D14" w:rsidP="00A76D14">
      <w:pPr>
        <w:pStyle w:val="ListParagraph"/>
        <w:numPr>
          <w:ilvl w:val="1"/>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Identify possible schemes and evaluate their feasibility and performances (RAN1).</w:t>
      </w:r>
    </w:p>
    <w:p w14:paraId="6F74D083" w14:textId="77777777" w:rsidR="00A76D14" w:rsidRPr="00211595" w:rsidRDefault="00A76D14" w:rsidP="00A76D14">
      <w:pPr>
        <w:pStyle w:val="ListParagraph"/>
        <w:numPr>
          <w:ilvl w:val="1"/>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Study inter-</w:t>
      </w:r>
      <w:proofErr w:type="spellStart"/>
      <w:r w:rsidRPr="00211595">
        <w:rPr>
          <w:rFonts w:ascii="Calibri" w:eastAsia="Malgun Gothic" w:hAnsi="Calibri" w:cs="Batang"/>
          <w:lang w:val="en-GB" w:eastAsia="ko-KR"/>
        </w:rPr>
        <w:t>gNB</w:t>
      </w:r>
      <w:proofErr w:type="spellEnd"/>
      <w:r w:rsidRPr="00211595">
        <w:rPr>
          <w:rFonts w:ascii="Calibri" w:eastAsia="Malgun Gothic" w:hAnsi="Calibri" w:cs="Batang"/>
          <w:lang w:val="en-GB" w:eastAsia="ko-KR"/>
        </w:rPr>
        <w:t xml:space="preserve"> and inter-UE CLI handling and identify solutions to manage them (RAN1).</w:t>
      </w:r>
    </w:p>
    <w:p w14:paraId="6F7032C3" w14:textId="77777777" w:rsidR="00A76D14" w:rsidRPr="00211595" w:rsidRDefault="00A76D14" w:rsidP="00A76D14">
      <w:pPr>
        <w:pStyle w:val="ListParagraph"/>
        <w:numPr>
          <w:ilvl w:val="2"/>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Study their impacts on inter-</w:t>
      </w:r>
      <w:proofErr w:type="spellStart"/>
      <w:r w:rsidRPr="00211595">
        <w:rPr>
          <w:rFonts w:ascii="Calibri" w:eastAsia="Malgun Gothic" w:hAnsi="Calibri" w:cs="Batang"/>
          <w:lang w:val="en-GB" w:eastAsia="ko-KR"/>
        </w:rPr>
        <w:t>gNB</w:t>
      </w:r>
      <w:proofErr w:type="spellEnd"/>
      <w:r w:rsidRPr="00211595">
        <w:rPr>
          <w:rFonts w:ascii="Calibri" w:eastAsia="Malgun Gothic" w:hAnsi="Calibri" w:cs="Batang"/>
          <w:lang w:val="en-GB" w:eastAsia="ko-KR"/>
        </w:rPr>
        <w:t xml:space="preserve"> interfaces if needed (RAN3).</w:t>
      </w:r>
    </w:p>
    <w:p w14:paraId="3E5868BD" w14:textId="77777777" w:rsidR="00A76D14" w:rsidRPr="00211595" w:rsidRDefault="00A76D14" w:rsidP="00A76D14">
      <w:pPr>
        <w:pStyle w:val="ListParagraph"/>
        <w:numPr>
          <w:ilvl w:val="2"/>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Consider intra-</w:t>
      </w:r>
      <w:proofErr w:type="spellStart"/>
      <w:r w:rsidRPr="00211595">
        <w:rPr>
          <w:rFonts w:ascii="Calibri" w:eastAsia="Malgun Gothic" w:hAnsi="Calibri" w:cs="Batang"/>
          <w:lang w:val="en-GB" w:eastAsia="ko-KR"/>
        </w:rPr>
        <w:t>subband</w:t>
      </w:r>
      <w:proofErr w:type="spellEnd"/>
      <w:r w:rsidRPr="00211595">
        <w:rPr>
          <w:rFonts w:ascii="Calibri" w:eastAsia="Malgun Gothic" w:hAnsi="Calibri" w:cs="Batang"/>
          <w:lang w:val="en-GB" w:eastAsia="ko-KR"/>
        </w:rPr>
        <w:t xml:space="preserve"> CLI and inter-</w:t>
      </w:r>
      <w:proofErr w:type="spellStart"/>
      <w:r w:rsidRPr="00211595">
        <w:rPr>
          <w:rFonts w:ascii="Calibri" w:eastAsia="Malgun Gothic" w:hAnsi="Calibri" w:cs="Batang"/>
          <w:lang w:val="en-GB" w:eastAsia="ko-KR"/>
        </w:rPr>
        <w:t>subband</w:t>
      </w:r>
      <w:proofErr w:type="spellEnd"/>
      <w:r w:rsidRPr="00211595">
        <w:rPr>
          <w:rFonts w:ascii="Calibri" w:eastAsia="Malgun Gothic" w:hAnsi="Calibri" w:cs="Batang"/>
          <w:lang w:val="en-GB" w:eastAsia="ko-KR"/>
        </w:rPr>
        <w:t xml:space="preserve"> CLI in case of the </w:t>
      </w:r>
      <w:proofErr w:type="spellStart"/>
      <w:r w:rsidRPr="00211595">
        <w:rPr>
          <w:rFonts w:ascii="Calibri" w:eastAsia="Malgun Gothic" w:hAnsi="Calibri" w:cs="Batang"/>
          <w:lang w:val="en-GB" w:eastAsia="ko-KR"/>
        </w:rPr>
        <w:t>subband</w:t>
      </w:r>
      <w:proofErr w:type="spellEnd"/>
      <w:r w:rsidRPr="00211595">
        <w:rPr>
          <w:rFonts w:ascii="Calibri" w:eastAsia="Malgun Gothic" w:hAnsi="Calibri" w:cs="Batang"/>
          <w:lang w:val="en-GB" w:eastAsia="ko-KR"/>
        </w:rPr>
        <w:t xml:space="preserve"> non-overlapping full duplex.</w:t>
      </w:r>
    </w:p>
    <w:p w14:paraId="60B6E4EA" w14:textId="77777777" w:rsidR="00A76D14" w:rsidRPr="00211595" w:rsidRDefault="00A76D14" w:rsidP="00A76D14">
      <w:pPr>
        <w:pStyle w:val="ListParagraph"/>
        <w:numPr>
          <w:ilvl w:val="1"/>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Study the performance of the identified schemes as well as the impact on legacy operation assuming their co-existence in co-channel and adjacent channels (RAN1).</w:t>
      </w:r>
    </w:p>
    <w:p w14:paraId="6378BF12" w14:textId="77777777" w:rsidR="00A76D14" w:rsidRPr="00211595" w:rsidRDefault="00A76D14" w:rsidP="00A76D14">
      <w:pPr>
        <w:pStyle w:val="ListParagraph"/>
        <w:numPr>
          <w:ilvl w:val="1"/>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Study the impact on RF requirements considering the self-interference, the inter-</w:t>
      </w:r>
      <w:proofErr w:type="spellStart"/>
      <w:r w:rsidRPr="00211595">
        <w:rPr>
          <w:rFonts w:ascii="Calibri" w:eastAsia="Malgun Gothic" w:hAnsi="Calibri" w:cs="Batang"/>
          <w:lang w:val="en-GB" w:eastAsia="ko-KR"/>
        </w:rPr>
        <w:t>subband</w:t>
      </w:r>
      <w:proofErr w:type="spellEnd"/>
      <w:r w:rsidRPr="00211595">
        <w:rPr>
          <w:rFonts w:ascii="Calibri" w:eastAsia="Malgun Gothic" w:hAnsi="Calibri" w:cs="Batang"/>
          <w:lang w:val="en-GB" w:eastAsia="ko-KR"/>
        </w:rPr>
        <w:t xml:space="preserve"> CLI, and the inter-operator CLI at </w:t>
      </w:r>
      <w:proofErr w:type="spellStart"/>
      <w:r w:rsidRPr="00211595">
        <w:rPr>
          <w:rFonts w:ascii="Calibri" w:eastAsia="Malgun Gothic" w:hAnsi="Calibri" w:cs="Batang"/>
          <w:lang w:val="en-GB" w:eastAsia="ko-KR"/>
        </w:rPr>
        <w:t>gNB</w:t>
      </w:r>
      <w:proofErr w:type="spellEnd"/>
      <w:r w:rsidRPr="00211595">
        <w:rPr>
          <w:rFonts w:ascii="Calibri" w:eastAsia="Malgun Gothic" w:hAnsi="Calibri" w:cs="Batang"/>
          <w:lang w:val="en-GB" w:eastAsia="ko-KR"/>
        </w:rPr>
        <w:t xml:space="preserve"> and the inter-</w:t>
      </w:r>
      <w:proofErr w:type="spellStart"/>
      <w:r w:rsidRPr="00211595">
        <w:rPr>
          <w:rFonts w:ascii="Calibri" w:eastAsia="Malgun Gothic" w:hAnsi="Calibri" w:cs="Batang"/>
          <w:lang w:val="en-GB" w:eastAsia="ko-KR"/>
        </w:rPr>
        <w:t>subband</w:t>
      </w:r>
      <w:proofErr w:type="spellEnd"/>
      <w:r w:rsidRPr="00211595">
        <w:rPr>
          <w:rFonts w:ascii="Calibri" w:eastAsia="Malgun Gothic" w:hAnsi="Calibri" w:cs="Batang"/>
          <w:lang w:val="en-GB" w:eastAsia="ko-KR"/>
        </w:rPr>
        <w:t xml:space="preserve"> CLI and inter-operator CLI at UE (RAN4).</w:t>
      </w:r>
    </w:p>
    <w:p w14:paraId="2A46FC1E" w14:textId="77777777" w:rsidR="00A76D14" w:rsidRPr="00211595" w:rsidRDefault="00A76D14" w:rsidP="00A76D14">
      <w:pPr>
        <w:pStyle w:val="ListParagraph"/>
        <w:numPr>
          <w:ilvl w:val="1"/>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Study the impact on RF requirements considering adjacent-channel co-existence with the legacy operation (RAN4).</w:t>
      </w:r>
    </w:p>
    <w:p w14:paraId="0042D7EE" w14:textId="77777777" w:rsidR="00A76D14" w:rsidRPr="00211595" w:rsidRDefault="00A76D14" w:rsidP="00A76D14">
      <w:pPr>
        <w:pStyle w:val="ListParagraph"/>
        <w:numPr>
          <w:ilvl w:val="1"/>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 xml:space="preserve">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211595">
        <w:rPr>
          <w:rFonts w:ascii="Calibri" w:eastAsia="Malgun Gothic" w:hAnsi="Calibri" w:cs="Batang"/>
          <w:lang w:val="en-GB" w:eastAsia="ko-KR"/>
        </w:rPr>
        <w:t>filtering</w:t>
      </w:r>
      <w:proofErr w:type="gramEnd"/>
      <w:r w:rsidRPr="00211595">
        <w:rPr>
          <w:rFonts w:ascii="Calibri" w:eastAsia="Malgun Gothic" w:hAnsi="Calibri" w:cs="Batang"/>
          <w:lang w:val="en-GB" w:eastAsia="ko-KR"/>
        </w:rPr>
        <w:t xml:space="preserve"> and digital interference suppression.</w:t>
      </w:r>
    </w:p>
    <w:p w14:paraId="1F626E73" w14:textId="77777777" w:rsidR="00A76D14" w:rsidRPr="00211595" w:rsidRDefault="00A76D14" w:rsidP="00A76D14">
      <w:pPr>
        <w:pStyle w:val="ListParagraph"/>
        <w:numPr>
          <w:ilvl w:val="1"/>
          <w:numId w:val="10"/>
        </w:numPr>
        <w:shd w:val="clear" w:color="auto" w:fill="FFFFFF"/>
        <w:spacing w:before="0" w:after="0"/>
        <w:jc w:val="left"/>
        <w:rPr>
          <w:rFonts w:ascii="Calibri" w:eastAsia="Malgun Gothic" w:hAnsi="Calibri" w:cs="Batang"/>
          <w:lang w:val="en-GB" w:eastAsia="ko-KR"/>
        </w:rPr>
      </w:pPr>
      <w:r w:rsidRPr="00211595">
        <w:rPr>
          <w:rFonts w:ascii="Calibri" w:eastAsia="Malgun Gothic" w:hAnsi="Calibri" w:cs="Batang"/>
          <w:lang w:val="en-GB" w:eastAsia="ko-KR"/>
        </w:rPr>
        <w:t xml:space="preserve">Summarize the regulatory aspects that </w:t>
      </w:r>
      <w:proofErr w:type="gramStart"/>
      <w:r w:rsidRPr="00211595">
        <w:rPr>
          <w:rFonts w:ascii="Calibri" w:eastAsia="Malgun Gothic" w:hAnsi="Calibri" w:cs="Batang"/>
          <w:lang w:val="en-GB" w:eastAsia="ko-KR"/>
        </w:rPr>
        <w:t>have to</w:t>
      </w:r>
      <w:proofErr w:type="gramEnd"/>
      <w:r w:rsidRPr="00211595">
        <w:rPr>
          <w:rFonts w:ascii="Calibri" w:eastAsia="Malgun Gothic" w:hAnsi="Calibri" w:cs="Batang"/>
          <w:lang w:val="en-GB" w:eastAsia="ko-KR"/>
        </w:rPr>
        <w:t xml:space="preserve"> be considered for deploying the identified duplex enhancements in TDD unpaired spectrum (RAN4).</w:t>
      </w:r>
    </w:p>
    <w:p w14:paraId="53B73924" w14:textId="77777777" w:rsidR="00A76D14" w:rsidRDefault="00A76D14" w:rsidP="00F35DD7">
      <w:pPr>
        <w:spacing w:before="0" w:after="0" w:line="288" w:lineRule="auto"/>
        <w:rPr>
          <w:rFonts w:ascii="Calibri" w:hAnsi="Calibri"/>
          <w:color w:val="000000"/>
          <w:kern w:val="24"/>
        </w:rPr>
      </w:pPr>
    </w:p>
    <w:p w14:paraId="2CC7A590" w14:textId="154FCEBB" w:rsidR="00FB2665" w:rsidRPr="00F47A5A" w:rsidRDefault="00F47A5A" w:rsidP="00FB2665">
      <w:pPr>
        <w:pStyle w:val="maintext"/>
        <w:ind w:firstLineChars="0" w:firstLine="0"/>
        <w:rPr>
          <w:rFonts w:ascii="Calibri" w:hAnsi="Calibri"/>
          <w:bCs/>
        </w:rPr>
      </w:pPr>
      <w:r>
        <w:rPr>
          <w:rFonts w:ascii="Calibri" w:hAnsi="Calibri"/>
          <w:bCs/>
        </w:rPr>
        <w:t>Broadly speaking, the objectives are intended to address three main areas: 1) performance, 2) feasibility (</w:t>
      </w:r>
      <w:proofErr w:type="gramStart"/>
      <w:r>
        <w:rPr>
          <w:rFonts w:ascii="Calibri" w:hAnsi="Calibri"/>
          <w:bCs/>
        </w:rPr>
        <w:t>e.g.</w:t>
      </w:r>
      <w:proofErr w:type="gramEnd"/>
      <w:r>
        <w:rPr>
          <w:rFonts w:ascii="Calibri" w:hAnsi="Calibri"/>
          <w:bCs/>
        </w:rPr>
        <w:t xml:space="preserve"> required isolation at the </w:t>
      </w:r>
      <w:proofErr w:type="spellStart"/>
      <w:r>
        <w:rPr>
          <w:rFonts w:ascii="Calibri" w:hAnsi="Calibri"/>
          <w:bCs/>
        </w:rPr>
        <w:t>gNB</w:t>
      </w:r>
      <w:proofErr w:type="spellEnd"/>
      <w:r>
        <w:rPr>
          <w:rFonts w:ascii="Calibri" w:hAnsi="Calibri"/>
          <w:bCs/>
        </w:rPr>
        <w:t xml:space="preserve">), and 3) impact of co-channel and adjacent channel interference. As mentioned earlier, the 3GPP Rel-17 </w:t>
      </w:r>
      <w:proofErr w:type="spellStart"/>
      <w:r>
        <w:rPr>
          <w:rFonts w:ascii="Calibri" w:hAnsi="Calibri"/>
          <w:bCs/>
        </w:rPr>
        <w:t>eIAB</w:t>
      </w:r>
      <w:proofErr w:type="spellEnd"/>
      <w:r>
        <w:rPr>
          <w:rFonts w:ascii="Calibri" w:hAnsi="Calibri"/>
          <w:bCs/>
        </w:rPr>
        <w:t xml:space="preserve"> work also considered these areas for the advanced multiplexing scenarios (including </w:t>
      </w:r>
      <w:proofErr w:type="spellStart"/>
      <w:r>
        <w:rPr>
          <w:rFonts w:ascii="Calibri" w:hAnsi="Calibri"/>
          <w:bCs/>
        </w:rPr>
        <w:t>subband</w:t>
      </w:r>
      <w:proofErr w:type="spellEnd"/>
      <w:r>
        <w:rPr>
          <w:rFonts w:ascii="Calibri" w:hAnsi="Calibri"/>
          <w:bCs/>
        </w:rPr>
        <w:t xml:space="preserve"> overlapping full duplex operation) and identified potential enhancements including resource allocation, power control, and interference measurements. While not </w:t>
      </w:r>
      <w:proofErr w:type="gramStart"/>
      <w:r>
        <w:rPr>
          <w:rFonts w:ascii="Calibri" w:hAnsi="Calibri"/>
          <w:bCs/>
        </w:rPr>
        <w:t>all of</w:t>
      </w:r>
      <w:proofErr w:type="gramEnd"/>
      <w:r>
        <w:rPr>
          <w:rFonts w:ascii="Calibri" w:hAnsi="Calibri"/>
          <w:bCs/>
        </w:rPr>
        <w:t xml:space="preserve"> those enhancements were fully optimized for full duplex operation</w:t>
      </w:r>
      <w:r w:rsidR="007A679E">
        <w:rPr>
          <w:rFonts w:ascii="Calibri" w:hAnsi="Calibri"/>
          <w:bCs/>
        </w:rPr>
        <w:t xml:space="preserve">, an important aspect to highlight is that many of the proposed solutions had commonalities for </w:t>
      </w:r>
      <w:proofErr w:type="spellStart"/>
      <w:r w:rsidR="007A679E">
        <w:rPr>
          <w:rFonts w:ascii="Calibri" w:hAnsi="Calibri"/>
          <w:bCs/>
        </w:rPr>
        <w:t>subband</w:t>
      </w:r>
      <w:proofErr w:type="spellEnd"/>
      <w:r w:rsidR="007A679E">
        <w:rPr>
          <w:rFonts w:ascii="Calibri" w:hAnsi="Calibri"/>
          <w:bCs/>
        </w:rPr>
        <w:t xml:space="preserve"> non-overlapping and </w:t>
      </w:r>
      <w:proofErr w:type="spellStart"/>
      <w:r w:rsidR="007A679E">
        <w:rPr>
          <w:rFonts w:ascii="Calibri" w:hAnsi="Calibri"/>
          <w:bCs/>
        </w:rPr>
        <w:t>subband</w:t>
      </w:r>
      <w:proofErr w:type="spellEnd"/>
      <w:r w:rsidR="007A679E">
        <w:rPr>
          <w:rFonts w:ascii="Calibri" w:hAnsi="Calibri"/>
          <w:bCs/>
        </w:rPr>
        <w:t xml:space="preserve"> overlapping scenarios. While it is certainly expected that the impact of interference and the required isolation is higher in case of the </w:t>
      </w:r>
      <w:proofErr w:type="spellStart"/>
      <w:r w:rsidR="007A679E">
        <w:rPr>
          <w:rFonts w:ascii="Calibri" w:hAnsi="Calibri"/>
          <w:bCs/>
        </w:rPr>
        <w:t>subband</w:t>
      </w:r>
      <w:proofErr w:type="spellEnd"/>
      <w:r w:rsidR="007A679E">
        <w:rPr>
          <w:rFonts w:ascii="Calibri" w:hAnsi="Calibri"/>
          <w:bCs/>
        </w:rPr>
        <w:t xml:space="preserve"> overlapping scenarios, the modelling and evaluation efforts can be almost fully reused given that co-channel and both intra-</w:t>
      </w:r>
      <w:proofErr w:type="spellStart"/>
      <w:r w:rsidR="007A679E">
        <w:rPr>
          <w:rFonts w:ascii="Calibri" w:hAnsi="Calibri"/>
          <w:bCs/>
        </w:rPr>
        <w:t>subband</w:t>
      </w:r>
      <w:proofErr w:type="spellEnd"/>
      <w:r w:rsidR="007A679E">
        <w:rPr>
          <w:rFonts w:ascii="Calibri" w:hAnsi="Calibri"/>
          <w:bCs/>
        </w:rPr>
        <w:t xml:space="preserve"> and inter-</w:t>
      </w:r>
      <w:proofErr w:type="spellStart"/>
      <w:r w:rsidR="007A679E">
        <w:rPr>
          <w:rFonts w:ascii="Calibri" w:hAnsi="Calibri"/>
          <w:bCs/>
        </w:rPr>
        <w:t>subband</w:t>
      </w:r>
      <w:proofErr w:type="spellEnd"/>
      <w:r w:rsidR="007A679E">
        <w:rPr>
          <w:rFonts w:ascii="Calibri" w:hAnsi="Calibri"/>
          <w:bCs/>
        </w:rPr>
        <w:t xml:space="preserve"> scenarios are already proposed in the Rel-18 study item scope. It is beneficial for 3GPP to consider </w:t>
      </w:r>
      <w:proofErr w:type="spellStart"/>
      <w:r w:rsidR="007A679E">
        <w:rPr>
          <w:rFonts w:ascii="Calibri" w:hAnsi="Calibri"/>
          <w:bCs/>
        </w:rPr>
        <w:t>subband</w:t>
      </w:r>
      <w:proofErr w:type="spellEnd"/>
      <w:r w:rsidR="007A679E">
        <w:rPr>
          <w:rFonts w:ascii="Calibri" w:hAnsi="Calibri"/>
          <w:bCs/>
        </w:rPr>
        <w:t xml:space="preserve"> overlapping scenarios at the same time as non-overlapping scenarios to identify where </w:t>
      </w:r>
      <w:r w:rsidR="00C46ABC">
        <w:rPr>
          <w:rFonts w:ascii="Calibri" w:hAnsi="Calibri"/>
          <w:bCs/>
        </w:rPr>
        <w:t xml:space="preserve">common solutions and requirements may apply and where challenges in terms of performance and feasibility may require future work which is specific to </w:t>
      </w:r>
      <w:proofErr w:type="spellStart"/>
      <w:r w:rsidR="00C46ABC">
        <w:rPr>
          <w:rFonts w:ascii="Calibri" w:hAnsi="Calibri"/>
          <w:bCs/>
        </w:rPr>
        <w:t>subband</w:t>
      </w:r>
      <w:proofErr w:type="spellEnd"/>
      <w:r w:rsidR="00C46ABC">
        <w:rPr>
          <w:rFonts w:ascii="Calibri" w:hAnsi="Calibri"/>
          <w:bCs/>
        </w:rPr>
        <w:t xml:space="preserve"> overlapping full duplex operation. </w:t>
      </w:r>
    </w:p>
    <w:p w14:paraId="663782F3" w14:textId="60AE97B0" w:rsidR="00193F04" w:rsidRDefault="00193F04" w:rsidP="00FB2665">
      <w:pPr>
        <w:pStyle w:val="maintext"/>
        <w:ind w:firstLineChars="0" w:firstLine="0"/>
        <w:rPr>
          <w:rFonts w:ascii="Calibri" w:hAnsi="Calibri"/>
          <w:b/>
        </w:rPr>
      </w:pPr>
    </w:p>
    <w:p w14:paraId="4732B121" w14:textId="0E88093A" w:rsidR="00C46ABC" w:rsidRPr="00C26B75" w:rsidRDefault="00C46ABC" w:rsidP="00C46ABC">
      <w:pPr>
        <w:pStyle w:val="maintext"/>
        <w:ind w:firstLineChars="0" w:firstLine="0"/>
        <w:rPr>
          <w:rFonts w:ascii="Calibri" w:hAnsi="Calibri"/>
          <w:b/>
          <w:bCs/>
        </w:rPr>
      </w:pPr>
      <w:r w:rsidRPr="00D16765">
        <w:rPr>
          <w:rFonts w:ascii="Calibri" w:hAnsi="Calibri"/>
          <w:b/>
          <w:bCs/>
        </w:rPr>
        <w:t>Observation</w:t>
      </w:r>
      <w:r>
        <w:rPr>
          <w:rFonts w:ascii="Calibri" w:hAnsi="Calibri"/>
          <w:b/>
          <w:bCs/>
        </w:rPr>
        <w:t xml:space="preserve"> 3</w:t>
      </w:r>
      <w:r w:rsidRPr="00D16765">
        <w:rPr>
          <w:rFonts w:ascii="Calibri" w:hAnsi="Calibri"/>
          <w:b/>
          <w:bCs/>
        </w:rPr>
        <w:t>:</w:t>
      </w:r>
      <w:r w:rsidRPr="00C26B75">
        <w:rPr>
          <w:rFonts w:ascii="Calibri" w:hAnsi="Calibri"/>
          <w:b/>
          <w:bCs/>
        </w:rPr>
        <w:t xml:space="preserve"> </w:t>
      </w:r>
      <w:r w:rsidR="0062674D">
        <w:rPr>
          <w:rFonts w:ascii="Calibri" w:hAnsi="Calibri"/>
          <w:b/>
        </w:rPr>
        <w:t>There are many commonalities in the evaluation and s</w:t>
      </w:r>
      <w:r w:rsidR="0062674D">
        <w:rPr>
          <w:rFonts w:ascii="Calibri" w:hAnsi="Calibri"/>
          <w:b/>
          <w:bCs/>
        </w:rPr>
        <w:t>tudy of performance, feasibility, and the impact of interference</w:t>
      </w:r>
      <w:r w:rsidR="0062674D" w:rsidRPr="0041508D">
        <w:rPr>
          <w:rFonts w:ascii="Calibri" w:hAnsi="Calibri"/>
          <w:b/>
        </w:rPr>
        <w:t xml:space="preserve"> </w:t>
      </w:r>
      <w:r w:rsidR="0041508D" w:rsidRPr="0041508D">
        <w:rPr>
          <w:rFonts w:ascii="Calibri" w:hAnsi="Calibri"/>
          <w:b/>
        </w:rPr>
        <w:t xml:space="preserve">for </w:t>
      </w:r>
      <w:proofErr w:type="spellStart"/>
      <w:r w:rsidR="0041508D" w:rsidRPr="0041508D">
        <w:rPr>
          <w:rFonts w:ascii="Calibri" w:hAnsi="Calibri"/>
          <w:b/>
        </w:rPr>
        <w:t>subband</w:t>
      </w:r>
      <w:proofErr w:type="spellEnd"/>
      <w:r w:rsidR="0041508D" w:rsidRPr="0041508D">
        <w:rPr>
          <w:rFonts w:ascii="Calibri" w:hAnsi="Calibri"/>
          <w:b/>
        </w:rPr>
        <w:t xml:space="preserve"> non-overlapping and </w:t>
      </w:r>
      <w:proofErr w:type="spellStart"/>
      <w:r w:rsidR="0041508D" w:rsidRPr="0041508D">
        <w:rPr>
          <w:rFonts w:ascii="Calibri" w:hAnsi="Calibri"/>
          <w:b/>
        </w:rPr>
        <w:t>subband</w:t>
      </w:r>
      <w:proofErr w:type="spellEnd"/>
      <w:r w:rsidR="0041508D" w:rsidRPr="0041508D">
        <w:rPr>
          <w:rFonts w:ascii="Calibri" w:hAnsi="Calibri"/>
          <w:b/>
        </w:rPr>
        <w:t xml:space="preserve"> overlapping </w:t>
      </w:r>
      <w:r w:rsidR="0062674D">
        <w:rPr>
          <w:rFonts w:ascii="Calibri" w:hAnsi="Calibri"/>
          <w:b/>
        </w:rPr>
        <w:t xml:space="preserve">full duplex </w:t>
      </w:r>
      <w:r w:rsidR="0041508D" w:rsidRPr="0041508D">
        <w:rPr>
          <w:rFonts w:ascii="Calibri" w:hAnsi="Calibri"/>
          <w:b/>
        </w:rPr>
        <w:t>scenarios</w:t>
      </w:r>
      <w:r w:rsidR="00483CB8">
        <w:rPr>
          <w:rFonts w:ascii="Calibri" w:hAnsi="Calibri"/>
          <w:b/>
        </w:rPr>
        <w:t>.</w:t>
      </w:r>
    </w:p>
    <w:p w14:paraId="24FE348C" w14:textId="53B958F8" w:rsidR="00C46ABC" w:rsidRDefault="00C46ABC" w:rsidP="00FB2665">
      <w:pPr>
        <w:pStyle w:val="maintext"/>
        <w:ind w:firstLineChars="0" w:firstLine="0"/>
        <w:rPr>
          <w:rFonts w:ascii="Calibri" w:hAnsi="Calibri"/>
          <w:b/>
        </w:rPr>
      </w:pPr>
    </w:p>
    <w:p w14:paraId="0896F904" w14:textId="4AFC43D8" w:rsidR="0041508D" w:rsidRDefault="0041508D" w:rsidP="00FB2665">
      <w:pPr>
        <w:pStyle w:val="maintext"/>
        <w:ind w:firstLineChars="0" w:firstLine="0"/>
        <w:rPr>
          <w:rFonts w:ascii="Calibri" w:hAnsi="Calibri"/>
          <w:bCs/>
        </w:rPr>
      </w:pPr>
      <w:r>
        <w:rPr>
          <w:rFonts w:ascii="Calibri" w:hAnsi="Calibri"/>
          <w:bCs/>
        </w:rPr>
        <w:t xml:space="preserve">Based on the observations made in this contribution, </w:t>
      </w:r>
      <w:proofErr w:type="spellStart"/>
      <w:r>
        <w:rPr>
          <w:rFonts w:ascii="Calibri" w:hAnsi="Calibri"/>
          <w:bCs/>
        </w:rPr>
        <w:t>subband</w:t>
      </w:r>
      <w:proofErr w:type="spellEnd"/>
      <w:r>
        <w:rPr>
          <w:rFonts w:ascii="Calibri" w:hAnsi="Calibri"/>
          <w:bCs/>
        </w:rPr>
        <w:t xml:space="preserve"> overlapping full duplex operation has already been considered in the Rel-17 </w:t>
      </w:r>
      <w:proofErr w:type="spellStart"/>
      <w:r>
        <w:rPr>
          <w:rFonts w:ascii="Calibri" w:hAnsi="Calibri"/>
          <w:bCs/>
        </w:rPr>
        <w:t>eIAB</w:t>
      </w:r>
      <w:proofErr w:type="spellEnd"/>
      <w:r>
        <w:rPr>
          <w:rFonts w:ascii="Calibri" w:hAnsi="Calibri"/>
          <w:bCs/>
        </w:rPr>
        <w:t xml:space="preserve"> work item, has been shown to be feasible </w:t>
      </w:r>
      <w:r w:rsidR="0062674D">
        <w:rPr>
          <w:rFonts w:ascii="Calibri" w:hAnsi="Calibri"/>
          <w:bCs/>
        </w:rPr>
        <w:t>under</w:t>
      </w:r>
      <w:r>
        <w:rPr>
          <w:rFonts w:ascii="Calibri" w:hAnsi="Calibri"/>
          <w:bCs/>
        </w:rPr>
        <w:t xml:space="preserve"> certain spectrum and </w:t>
      </w:r>
      <w:proofErr w:type="spellStart"/>
      <w:r>
        <w:rPr>
          <w:rFonts w:ascii="Calibri" w:hAnsi="Calibri"/>
          <w:bCs/>
        </w:rPr>
        <w:t>gNB</w:t>
      </w:r>
      <w:proofErr w:type="spellEnd"/>
      <w:r>
        <w:rPr>
          <w:rFonts w:ascii="Calibri" w:hAnsi="Calibri"/>
          <w:bCs/>
        </w:rPr>
        <w:t xml:space="preserve"> implementation scenarios, and has commonality at least in the modelling and evaluation aspects of </w:t>
      </w:r>
      <w:r w:rsidR="0062674D">
        <w:rPr>
          <w:rFonts w:ascii="Calibri" w:hAnsi="Calibri"/>
          <w:bCs/>
        </w:rPr>
        <w:t>a</w:t>
      </w:r>
      <w:r>
        <w:rPr>
          <w:rFonts w:ascii="Calibri" w:hAnsi="Calibri"/>
          <w:bCs/>
        </w:rPr>
        <w:t xml:space="preserve"> study item. As a result, the proposed Rel-18 study item description should be updated to include </w:t>
      </w:r>
      <w:proofErr w:type="spellStart"/>
      <w:r>
        <w:rPr>
          <w:rFonts w:ascii="Calibri" w:hAnsi="Calibri"/>
          <w:bCs/>
        </w:rPr>
        <w:t>subband</w:t>
      </w:r>
      <w:proofErr w:type="spellEnd"/>
      <w:r>
        <w:rPr>
          <w:rFonts w:ascii="Calibri" w:hAnsi="Calibri"/>
          <w:bCs/>
        </w:rPr>
        <w:t xml:space="preserve"> overlapping full duplex operation scenarios.</w:t>
      </w:r>
    </w:p>
    <w:p w14:paraId="0CF0CDC8" w14:textId="77777777" w:rsidR="0041508D" w:rsidRPr="0041508D" w:rsidRDefault="0041508D" w:rsidP="00FB2665">
      <w:pPr>
        <w:pStyle w:val="maintext"/>
        <w:ind w:firstLineChars="0" w:firstLine="0"/>
        <w:rPr>
          <w:rFonts w:ascii="Calibri" w:hAnsi="Calibri"/>
          <w:bCs/>
        </w:rPr>
      </w:pPr>
    </w:p>
    <w:p w14:paraId="5C29E7FD" w14:textId="02C9F68D" w:rsidR="00C46ABC" w:rsidRDefault="00C46ABC" w:rsidP="00FB2665">
      <w:pPr>
        <w:pStyle w:val="maintext"/>
        <w:ind w:firstLineChars="0" w:firstLine="0"/>
        <w:rPr>
          <w:rFonts w:ascii="Calibri" w:hAnsi="Calibri"/>
          <w:b/>
        </w:rPr>
      </w:pPr>
      <w:r>
        <w:rPr>
          <w:rFonts w:ascii="Calibri" w:hAnsi="Calibri"/>
          <w:b/>
          <w:bCs/>
        </w:rPr>
        <w:t xml:space="preserve">Proposal 1: Update the objectives of the proposed Rel-18 SI on </w:t>
      </w:r>
      <w:r w:rsidR="0041508D">
        <w:rPr>
          <w:rFonts w:ascii="Calibri" w:hAnsi="Calibri"/>
          <w:b/>
          <w:bCs/>
        </w:rPr>
        <w:t>evolution of duplex operation:</w:t>
      </w:r>
    </w:p>
    <w:p w14:paraId="437825A4" w14:textId="4D7AE65E" w:rsidR="00C46ABC" w:rsidRDefault="00C46ABC" w:rsidP="0041508D">
      <w:pPr>
        <w:pStyle w:val="maintext"/>
        <w:numPr>
          <w:ilvl w:val="0"/>
          <w:numId w:val="10"/>
        </w:numPr>
        <w:ind w:firstLineChars="0"/>
        <w:rPr>
          <w:rFonts w:ascii="Calibri" w:hAnsi="Calibri"/>
          <w:b/>
          <w:bCs/>
        </w:rPr>
      </w:pPr>
      <w:r w:rsidRPr="0041508D">
        <w:rPr>
          <w:rFonts w:ascii="Calibri" w:hAnsi="Calibri"/>
          <w:b/>
          <w:bCs/>
        </w:rPr>
        <w:t xml:space="preserve">Study </w:t>
      </w:r>
      <w:r w:rsidR="00930C24">
        <w:rPr>
          <w:rFonts w:ascii="Calibri" w:hAnsi="Calibri"/>
          <w:b/>
          <w:bCs/>
        </w:rPr>
        <w:t xml:space="preserve">the </w:t>
      </w:r>
      <w:proofErr w:type="spellStart"/>
      <w:r w:rsidRPr="0041508D">
        <w:rPr>
          <w:rFonts w:ascii="Calibri" w:hAnsi="Calibri"/>
          <w:b/>
          <w:bCs/>
        </w:rPr>
        <w:t>subband</w:t>
      </w:r>
      <w:proofErr w:type="spellEnd"/>
      <w:r w:rsidRPr="0041508D">
        <w:rPr>
          <w:rFonts w:ascii="Calibri" w:hAnsi="Calibri"/>
          <w:b/>
          <w:bCs/>
        </w:rPr>
        <w:t xml:space="preserve"> non-overlapping </w:t>
      </w:r>
      <w:r w:rsidR="0041508D" w:rsidRPr="0041508D">
        <w:rPr>
          <w:rFonts w:ascii="Calibri" w:hAnsi="Calibri"/>
          <w:b/>
          <w:bCs/>
          <w:color w:val="FF0000"/>
        </w:rPr>
        <w:t xml:space="preserve">and overlapping </w:t>
      </w:r>
      <w:r w:rsidRPr="0041508D">
        <w:rPr>
          <w:rFonts w:ascii="Calibri" w:hAnsi="Calibri"/>
          <w:b/>
          <w:bCs/>
        </w:rPr>
        <w:t>full duplex and potential enhancements on dynamic/flexible TDD</w:t>
      </w:r>
    </w:p>
    <w:p w14:paraId="45426263" w14:textId="77777777" w:rsidR="0041508D" w:rsidRPr="0041508D" w:rsidRDefault="0041508D" w:rsidP="0041508D">
      <w:pPr>
        <w:pStyle w:val="maintext"/>
        <w:ind w:firstLineChars="0" w:firstLine="0"/>
        <w:rPr>
          <w:rFonts w:ascii="Calibri" w:hAnsi="Calibri"/>
          <w:b/>
          <w:bCs/>
        </w:rPr>
      </w:pPr>
    </w:p>
    <w:p w14:paraId="02274DD9" w14:textId="77777777" w:rsidR="007338D6" w:rsidRPr="00172743" w:rsidRDefault="003A566A" w:rsidP="00326FF6">
      <w:pPr>
        <w:pStyle w:val="Heading1"/>
      </w:pPr>
      <w:r w:rsidRPr="00172743">
        <w:lastRenderedPageBreak/>
        <w:t>Conclusion</w:t>
      </w:r>
    </w:p>
    <w:p w14:paraId="7D74D9C3" w14:textId="7B835F3E" w:rsidR="00F7084A" w:rsidRPr="00F7084A" w:rsidRDefault="00F7084A" w:rsidP="00F7084A">
      <w:pPr>
        <w:spacing w:before="0" w:after="0"/>
        <w:jc w:val="left"/>
        <w:rPr>
          <w:rFonts w:ascii="Calibri" w:hAnsi="Calibri"/>
        </w:rPr>
      </w:pPr>
      <w:r w:rsidRPr="00C724F1">
        <w:rPr>
          <w:rFonts w:ascii="Calibri" w:hAnsi="Calibri"/>
        </w:rPr>
        <w:t xml:space="preserve">This contribution </w:t>
      </w:r>
      <w:r>
        <w:rPr>
          <w:rFonts w:ascii="Calibri" w:hAnsi="Calibri"/>
        </w:rPr>
        <w:t>analyzed</w:t>
      </w:r>
      <w:r w:rsidRPr="00C724F1">
        <w:rPr>
          <w:rFonts w:ascii="Calibri" w:hAnsi="Calibri"/>
        </w:rPr>
        <w:t xml:space="preserve"> </w:t>
      </w:r>
      <w:r>
        <w:rPr>
          <w:rFonts w:ascii="Calibri" w:hAnsi="Calibri"/>
        </w:rPr>
        <w:t>the benefits and impact of including</w:t>
      </w:r>
      <w:r w:rsidRPr="00211595">
        <w:rPr>
          <w:rFonts w:ascii="Calibri" w:hAnsi="Calibri"/>
        </w:rPr>
        <w:t xml:space="preserve"> </w:t>
      </w:r>
      <w:proofErr w:type="spellStart"/>
      <w:r w:rsidRPr="00211595">
        <w:rPr>
          <w:rFonts w:ascii="Calibri" w:hAnsi="Calibri"/>
        </w:rPr>
        <w:t>subband</w:t>
      </w:r>
      <w:proofErr w:type="spellEnd"/>
      <w:r w:rsidRPr="00211595">
        <w:rPr>
          <w:rFonts w:ascii="Calibri" w:hAnsi="Calibri"/>
        </w:rPr>
        <w:t xml:space="preserve"> overlapping full duplex in the scope</w:t>
      </w:r>
      <w:r>
        <w:rPr>
          <w:rFonts w:ascii="Calibri" w:hAnsi="Calibri"/>
        </w:rPr>
        <w:t xml:space="preserve"> of a Rel-18 study item on the evolution of duplex operation. The following observations and proposal were made:</w:t>
      </w:r>
    </w:p>
    <w:p w14:paraId="55C5FC39" w14:textId="06D2FA44" w:rsidR="00F7084A" w:rsidRPr="00F7084A" w:rsidRDefault="00F7084A" w:rsidP="00F7084A">
      <w:pPr>
        <w:pStyle w:val="maintext"/>
        <w:ind w:firstLineChars="0" w:firstLine="0"/>
        <w:rPr>
          <w:rFonts w:ascii="Calibri" w:hAnsi="Calibri"/>
          <w:b/>
          <w:bCs/>
        </w:rPr>
      </w:pPr>
      <w:r w:rsidRPr="00E10A19">
        <w:rPr>
          <w:rFonts w:ascii="Calibri" w:hAnsi="Calibri"/>
          <w:b/>
          <w:bCs/>
        </w:rPr>
        <w:t xml:space="preserve">Observation 1: </w:t>
      </w:r>
      <w:r>
        <w:rPr>
          <w:rFonts w:ascii="Calibri" w:hAnsi="Calibri"/>
          <w:b/>
          <w:bCs/>
        </w:rPr>
        <w:t xml:space="preserve">3GPP has already considered full duplex enhancements at the </w:t>
      </w:r>
      <w:proofErr w:type="spellStart"/>
      <w:r>
        <w:rPr>
          <w:rFonts w:ascii="Calibri" w:hAnsi="Calibri"/>
          <w:b/>
          <w:bCs/>
        </w:rPr>
        <w:t>gNB</w:t>
      </w:r>
      <w:proofErr w:type="spellEnd"/>
      <w:r>
        <w:rPr>
          <w:rFonts w:ascii="Calibri" w:hAnsi="Calibri"/>
          <w:b/>
          <w:bCs/>
        </w:rPr>
        <w:t xml:space="preserve"> side (including </w:t>
      </w:r>
      <w:proofErr w:type="spellStart"/>
      <w:r>
        <w:rPr>
          <w:rFonts w:ascii="Calibri" w:hAnsi="Calibri"/>
          <w:b/>
          <w:bCs/>
        </w:rPr>
        <w:t>subband</w:t>
      </w:r>
      <w:proofErr w:type="spellEnd"/>
      <w:r>
        <w:rPr>
          <w:rFonts w:ascii="Calibri" w:hAnsi="Calibri"/>
          <w:b/>
          <w:bCs/>
        </w:rPr>
        <w:t xml:space="preserve"> overlapping full duplex scenarios) in the Rel-17 </w:t>
      </w:r>
      <w:proofErr w:type="spellStart"/>
      <w:r>
        <w:rPr>
          <w:rFonts w:ascii="Calibri" w:hAnsi="Calibri"/>
          <w:b/>
          <w:bCs/>
        </w:rPr>
        <w:t>eIAB</w:t>
      </w:r>
      <w:proofErr w:type="spellEnd"/>
      <w:r>
        <w:rPr>
          <w:rFonts w:ascii="Calibri" w:hAnsi="Calibri"/>
          <w:b/>
          <w:bCs/>
        </w:rPr>
        <w:t xml:space="preserve"> work item.</w:t>
      </w:r>
    </w:p>
    <w:p w14:paraId="7A7D48F1" w14:textId="37EABE86" w:rsidR="00F7084A" w:rsidRDefault="00F7084A" w:rsidP="00F7084A">
      <w:pPr>
        <w:pStyle w:val="maintext"/>
        <w:ind w:firstLineChars="0" w:firstLine="0"/>
        <w:rPr>
          <w:rFonts w:ascii="Calibri" w:hAnsi="Calibri"/>
          <w:b/>
          <w:bCs/>
        </w:rPr>
      </w:pPr>
      <w:r w:rsidRPr="00D16765">
        <w:rPr>
          <w:rFonts w:ascii="Calibri" w:hAnsi="Calibri"/>
          <w:b/>
          <w:bCs/>
        </w:rPr>
        <w:t>Observation</w:t>
      </w:r>
      <w:r>
        <w:rPr>
          <w:rFonts w:ascii="Calibri" w:hAnsi="Calibri"/>
          <w:b/>
          <w:bCs/>
        </w:rPr>
        <w:t xml:space="preserve"> 2</w:t>
      </w:r>
      <w:r w:rsidRPr="00D16765">
        <w:rPr>
          <w:rFonts w:ascii="Calibri" w:hAnsi="Calibri"/>
          <w:b/>
          <w:bCs/>
        </w:rPr>
        <w:t>:</w:t>
      </w:r>
      <w:r w:rsidRPr="00C26B75">
        <w:rPr>
          <w:rFonts w:ascii="Calibri" w:hAnsi="Calibri"/>
          <w:b/>
          <w:bCs/>
        </w:rPr>
        <w:t xml:space="preserve"> </w:t>
      </w:r>
      <w:r>
        <w:rPr>
          <w:rFonts w:ascii="Calibri" w:hAnsi="Calibri"/>
          <w:b/>
          <w:bCs/>
        </w:rPr>
        <w:t xml:space="preserve">Multiple factors including antenna design, beam/panel selection, and </w:t>
      </w:r>
      <w:proofErr w:type="spellStart"/>
      <w:r>
        <w:rPr>
          <w:rFonts w:ascii="Calibri" w:hAnsi="Calibri"/>
          <w:b/>
          <w:bCs/>
        </w:rPr>
        <w:t>gNB</w:t>
      </w:r>
      <w:proofErr w:type="spellEnd"/>
      <w:r>
        <w:rPr>
          <w:rFonts w:ascii="Calibri" w:hAnsi="Calibri"/>
          <w:b/>
          <w:bCs/>
        </w:rPr>
        <w:t xml:space="preserve"> array geometry can influence the extent of cross-link and self-interference experienced when </w:t>
      </w:r>
      <w:proofErr w:type="spellStart"/>
      <w:r>
        <w:rPr>
          <w:rFonts w:ascii="Calibri" w:hAnsi="Calibri"/>
          <w:b/>
          <w:bCs/>
        </w:rPr>
        <w:t>subband</w:t>
      </w:r>
      <w:proofErr w:type="spellEnd"/>
      <w:r>
        <w:rPr>
          <w:rFonts w:ascii="Calibri" w:hAnsi="Calibri"/>
          <w:b/>
          <w:bCs/>
        </w:rPr>
        <w:t xml:space="preserve"> overlapping full duplex operation is supported.</w:t>
      </w:r>
    </w:p>
    <w:p w14:paraId="522B568A" w14:textId="77777777" w:rsidR="00483CB8" w:rsidRPr="00C26B75" w:rsidRDefault="00483CB8" w:rsidP="00483CB8">
      <w:pPr>
        <w:pStyle w:val="maintext"/>
        <w:ind w:firstLineChars="0" w:firstLine="0"/>
        <w:rPr>
          <w:rFonts w:ascii="Calibri" w:hAnsi="Calibri"/>
          <w:b/>
          <w:bCs/>
        </w:rPr>
      </w:pPr>
      <w:r w:rsidRPr="00D16765">
        <w:rPr>
          <w:rFonts w:ascii="Calibri" w:hAnsi="Calibri"/>
          <w:b/>
          <w:bCs/>
        </w:rPr>
        <w:t>Observation</w:t>
      </w:r>
      <w:r>
        <w:rPr>
          <w:rFonts w:ascii="Calibri" w:hAnsi="Calibri"/>
          <w:b/>
          <w:bCs/>
        </w:rPr>
        <w:t xml:space="preserve"> 3</w:t>
      </w:r>
      <w:r w:rsidRPr="00D16765">
        <w:rPr>
          <w:rFonts w:ascii="Calibri" w:hAnsi="Calibri"/>
          <w:b/>
          <w:bCs/>
        </w:rPr>
        <w:t>:</w:t>
      </w:r>
      <w:r w:rsidRPr="00C26B75">
        <w:rPr>
          <w:rFonts w:ascii="Calibri" w:hAnsi="Calibri"/>
          <w:b/>
          <w:bCs/>
        </w:rPr>
        <w:t xml:space="preserve"> </w:t>
      </w:r>
      <w:r>
        <w:rPr>
          <w:rFonts w:ascii="Calibri" w:hAnsi="Calibri"/>
          <w:b/>
        </w:rPr>
        <w:t>There are many commonalities in the evaluation and s</w:t>
      </w:r>
      <w:r>
        <w:rPr>
          <w:rFonts w:ascii="Calibri" w:hAnsi="Calibri"/>
          <w:b/>
          <w:bCs/>
        </w:rPr>
        <w:t>tudy of performance, feasibility, and the impact of interference</w:t>
      </w:r>
      <w:r w:rsidRPr="0041508D">
        <w:rPr>
          <w:rFonts w:ascii="Calibri" w:hAnsi="Calibri"/>
          <w:b/>
        </w:rPr>
        <w:t xml:space="preserve"> for </w:t>
      </w:r>
      <w:proofErr w:type="spellStart"/>
      <w:r w:rsidRPr="0041508D">
        <w:rPr>
          <w:rFonts w:ascii="Calibri" w:hAnsi="Calibri"/>
          <w:b/>
        </w:rPr>
        <w:t>subband</w:t>
      </w:r>
      <w:proofErr w:type="spellEnd"/>
      <w:r w:rsidRPr="0041508D">
        <w:rPr>
          <w:rFonts w:ascii="Calibri" w:hAnsi="Calibri"/>
          <w:b/>
        </w:rPr>
        <w:t xml:space="preserve"> non-overlapping and </w:t>
      </w:r>
      <w:proofErr w:type="spellStart"/>
      <w:r w:rsidRPr="0041508D">
        <w:rPr>
          <w:rFonts w:ascii="Calibri" w:hAnsi="Calibri"/>
          <w:b/>
        </w:rPr>
        <w:t>subband</w:t>
      </w:r>
      <w:proofErr w:type="spellEnd"/>
      <w:r w:rsidRPr="0041508D">
        <w:rPr>
          <w:rFonts w:ascii="Calibri" w:hAnsi="Calibri"/>
          <w:b/>
        </w:rPr>
        <w:t xml:space="preserve"> overlapping </w:t>
      </w:r>
      <w:r>
        <w:rPr>
          <w:rFonts w:ascii="Calibri" w:hAnsi="Calibri"/>
          <w:b/>
        </w:rPr>
        <w:t xml:space="preserve">full duplex </w:t>
      </w:r>
      <w:r w:rsidRPr="0041508D">
        <w:rPr>
          <w:rFonts w:ascii="Calibri" w:hAnsi="Calibri"/>
          <w:b/>
        </w:rPr>
        <w:t>scenarios</w:t>
      </w:r>
      <w:r>
        <w:rPr>
          <w:rFonts w:ascii="Calibri" w:hAnsi="Calibri"/>
          <w:b/>
        </w:rPr>
        <w:t>.</w:t>
      </w:r>
    </w:p>
    <w:p w14:paraId="5CD6B0EB" w14:textId="77777777" w:rsidR="0041508D" w:rsidRDefault="0041508D" w:rsidP="0041508D">
      <w:pPr>
        <w:pStyle w:val="maintext"/>
        <w:ind w:firstLineChars="0" w:firstLine="0"/>
        <w:rPr>
          <w:rFonts w:ascii="Calibri" w:hAnsi="Calibri"/>
          <w:b/>
        </w:rPr>
      </w:pPr>
      <w:r>
        <w:rPr>
          <w:rFonts w:ascii="Calibri" w:hAnsi="Calibri"/>
          <w:b/>
          <w:bCs/>
        </w:rPr>
        <w:t>Proposal 1: Update the objectives of the proposed Rel-18 SID on evolution of duplex operation:</w:t>
      </w:r>
    </w:p>
    <w:p w14:paraId="334E08EE" w14:textId="45829032" w:rsidR="0041508D" w:rsidRDefault="0041508D" w:rsidP="0041508D">
      <w:pPr>
        <w:pStyle w:val="maintext"/>
        <w:numPr>
          <w:ilvl w:val="0"/>
          <w:numId w:val="10"/>
        </w:numPr>
        <w:ind w:firstLineChars="0"/>
        <w:rPr>
          <w:rFonts w:ascii="Calibri" w:hAnsi="Calibri"/>
          <w:b/>
          <w:bCs/>
        </w:rPr>
      </w:pPr>
      <w:r w:rsidRPr="0041508D">
        <w:rPr>
          <w:rFonts w:ascii="Calibri" w:hAnsi="Calibri"/>
          <w:b/>
          <w:bCs/>
        </w:rPr>
        <w:t xml:space="preserve">Study </w:t>
      </w:r>
      <w:r w:rsidR="00930C24">
        <w:rPr>
          <w:rFonts w:ascii="Calibri" w:hAnsi="Calibri"/>
          <w:b/>
          <w:bCs/>
        </w:rPr>
        <w:t xml:space="preserve">the </w:t>
      </w:r>
      <w:proofErr w:type="spellStart"/>
      <w:r w:rsidRPr="0041508D">
        <w:rPr>
          <w:rFonts w:ascii="Calibri" w:hAnsi="Calibri"/>
          <w:b/>
          <w:bCs/>
        </w:rPr>
        <w:t>subband</w:t>
      </w:r>
      <w:proofErr w:type="spellEnd"/>
      <w:r w:rsidRPr="0041508D">
        <w:rPr>
          <w:rFonts w:ascii="Calibri" w:hAnsi="Calibri"/>
          <w:b/>
          <w:bCs/>
        </w:rPr>
        <w:t xml:space="preserve"> non-overlapping </w:t>
      </w:r>
      <w:r w:rsidRPr="0041508D">
        <w:rPr>
          <w:rFonts w:ascii="Calibri" w:hAnsi="Calibri"/>
          <w:b/>
          <w:bCs/>
          <w:color w:val="FF0000"/>
        </w:rPr>
        <w:t xml:space="preserve">and overlapping </w:t>
      </w:r>
      <w:r w:rsidRPr="0041508D">
        <w:rPr>
          <w:rFonts w:ascii="Calibri" w:hAnsi="Calibri"/>
          <w:b/>
          <w:bCs/>
        </w:rPr>
        <w:t>full duplex and potential enhancements on dynamic/flexible TDD</w:t>
      </w:r>
    </w:p>
    <w:p w14:paraId="6DF3BE96" w14:textId="77777777" w:rsidR="001E1F7F" w:rsidRDefault="001E1F7F" w:rsidP="00193F04">
      <w:pPr>
        <w:pStyle w:val="maintext"/>
        <w:ind w:firstLineChars="0" w:firstLine="0"/>
        <w:rPr>
          <w:rFonts w:ascii="Calibri" w:hAnsi="Calibri"/>
          <w:b/>
        </w:rPr>
      </w:pPr>
    </w:p>
    <w:p w14:paraId="07555F4F" w14:textId="77777777" w:rsidR="00FE6C15" w:rsidRPr="0076067D" w:rsidRDefault="00FE6C15" w:rsidP="0076067D">
      <w:pPr>
        <w:pStyle w:val="Heading1"/>
      </w:pPr>
      <w:r>
        <w:t>Reference</w:t>
      </w:r>
    </w:p>
    <w:p w14:paraId="290BCED8" w14:textId="79E9CE2C" w:rsidR="00D14268" w:rsidRDefault="00D14268" w:rsidP="00D14268">
      <w:pPr>
        <w:pStyle w:val="2222"/>
        <w:spacing w:after="120" w:line="288" w:lineRule="auto"/>
        <w:ind w:firstLineChars="0" w:firstLine="0"/>
        <w:jc w:val="left"/>
        <w:rPr>
          <w:rFonts w:cs="Times New Roman"/>
          <w:lang w:eastAsia="ko-KR"/>
        </w:rPr>
      </w:pPr>
      <w:r>
        <w:rPr>
          <w:rFonts w:cs="Times New Roman"/>
          <w:lang w:eastAsia="ko-KR"/>
        </w:rPr>
        <w:t xml:space="preserve">[1] </w:t>
      </w:r>
      <w:r w:rsidR="00F02184" w:rsidRPr="00F02184">
        <w:rPr>
          <w:rFonts w:cs="Times New Roman"/>
          <w:lang w:eastAsia="ko-KR"/>
        </w:rPr>
        <w:t>[RAN94e-R18Prep-07] Evolution of Duplex Operation</w:t>
      </w:r>
      <w:r>
        <w:rPr>
          <w:rFonts w:cs="Times New Roman"/>
          <w:lang w:eastAsia="ko-KR"/>
        </w:rPr>
        <w:t xml:space="preserve">, </w:t>
      </w:r>
      <w:r w:rsidR="00F02184">
        <w:rPr>
          <w:rFonts w:cs="Times New Roman"/>
          <w:lang w:eastAsia="ko-KR"/>
        </w:rPr>
        <w:t>Moderator (Samsung)</w:t>
      </w:r>
    </w:p>
    <w:p w14:paraId="1997698B" w14:textId="67A6B11D" w:rsidR="00F7084A" w:rsidRPr="0098270C" w:rsidRDefault="00F7084A" w:rsidP="00D14268">
      <w:pPr>
        <w:pStyle w:val="2222"/>
        <w:spacing w:after="120" w:line="288" w:lineRule="auto"/>
        <w:ind w:firstLineChars="0" w:firstLine="0"/>
        <w:jc w:val="left"/>
        <w:rPr>
          <w:rFonts w:cs="Times New Roman"/>
          <w:lang w:eastAsia="ko-KR"/>
        </w:rPr>
      </w:pPr>
      <w:r>
        <w:rPr>
          <w:rFonts w:cs="Times New Roman"/>
          <w:lang w:eastAsia="ko-KR"/>
        </w:rPr>
        <w:t xml:space="preserve">[2] R1-2100778 </w:t>
      </w:r>
      <w:r w:rsidRPr="00F7084A">
        <w:rPr>
          <w:rFonts w:cs="Times New Roman"/>
          <w:lang w:eastAsia="ko-KR"/>
        </w:rPr>
        <w:t>Enhancements for IAB interference management</w:t>
      </w:r>
      <w:r>
        <w:rPr>
          <w:rFonts w:cs="Times New Roman"/>
          <w:lang w:eastAsia="ko-KR"/>
        </w:rPr>
        <w:t>, AT&amp;T</w:t>
      </w:r>
    </w:p>
    <w:p w14:paraId="42FD3980" w14:textId="77777777"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03939" w14:textId="77777777" w:rsidR="00FD5B23" w:rsidRDefault="00FD5B23" w:rsidP="00424124">
      <w:pPr>
        <w:spacing w:before="0" w:after="0"/>
      </w:pPr>
      <w:r>
        <w:separator/>
      </w:r>
    </w:p>
  </w:endnote>
  <w:endnote w:type="continuationSeparator" w:id="0">
    <w:p w14:paraId="1D9B93C5" w14:textId="77777777" w:rsidR="00FD5B23" w:rsidRDefault="00FD5B23"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492A1" w14:textId="77777777" w:rsidR="00FD5B23" w:rsidRDefault="00FD5B23" w:rsidP="00424124">
      <w:pPr>
        <w:spacing w:before="0" w:after="0"/>
      </w:pPr>
      <w:r>
        <w:separator/>
      </w:r>
    </w:p>
  </w:footnote>
  <w:footnote w:type="continuationSeparator" w:id="0">
    <w:p w14:paraId="0F323E89" w14:textId="77777777" w:rsidR="00FD5B23" w:rsidRDefault="00FD5B23"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38D3788"/>
    <w:multiLevelType w:val="hybridMultilevel"/>
    <w:tmpl w:val="B8869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F112925"/>
    <w:multiLevelType w:val="hybridMultilevel"/>
    <w:tmpl w:val="79F29FA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61CC2002"/>
    <w:multiLevelType w:val="hybridMultilevel"/>
    <w:tmpl w:val="41FCD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7526ED"/>
    <w:multiLevelType w:val="hybridMultilevel"/>
    <w:tmpl w:val="3D02E75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8040326"/>
    <w:multiLevelType w:val="hybridMultilevel"/>
    <w:tmpl w:val="0248FB3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6"/>
  </w:num>
  <w:num w:numId="2">
    <w:abstractNumId w:val="2"/>
  </w:num>
  <w:num w:numId="3">
    <w:abstractNumId w:val="8"/>
  </w:num>
  <w:num w:numId="4">
    <w:abstractNumId w:val="0"/>
  </w:num>
  <w:num w:numId="5">
    <w:abstractNumId w:val="5"/>
  </w:num>
  <w:num w:numId="6">
    <w:abstractNumId w:val="11"/>
  </w:num>
  <w:num w:numId="7">
    <w:abstractNumId w:val="3"/>
  </w:num>
  <w:num w:numId="8">
    <w:abstractNumId w:val="7"/>
  </w:num>
  <w:num w:numId="9">
    <w:abstractNumId w:val="9"/>
  </w:num>
  <w:num w:numId="10">
    <w:abstractNumId w:val="1"/>
  </w:num>
  <w:num w:numId="11">
    <w:abstractNumId w:val="10"/>
  </w:num>
  <w:num w:numId="12">
    <w:abstractNumId w:val="12"/>
  </w:num>
  <w:num w:numId="13">
    <w:abstractNumId w:val="4"/>
  </w:num>
  <w:num w:numId="1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F1A"/>
    <w:rsid w:val="00032D47"/>
    <w:rsid w:val="000463E4"/>
    <w:rsid w:val="00051B4B"/>
    <w:rsid w:val="00051EBB"/>
    <w:rsid w:val="000550BC"/>
    <w:rsid w:val="00057E9B"/>
    <w:rsid w:val="000643FA"/>
    <w:rsid w:val="000730C9"/>
    <w:rsid w:val="0007575F"/>
    <w:rsid w:val="00075B2C"/>
    <w:rsid w:val="00075FD1"/>
    <w:rsid w:val="00077712"/>
    <w:rsid w:val="00085800"/>
    <w:rsid w:val="000865E3"/>
    <w:rsid w:val="000917C5"/>
    <w:rsid w:val="00096B44"/>
    <w:rsid w:val="00097DC6"/>
    <w:rsid w:val="000A36A9"/>
    <w:rsid w:val="000A53E4"/>
    <w:rsid w:val="000B0720"/>
    <w:rsid w:val="000B2186"/>
    <w:rsid w:val="000B58AF"/>
    <w:rsid w:val="000B6D99"/>
    <w:rsid w:val="000C21D0"/>
    <w:rsid w:val="000C4AAF"/>
    <w:rsid w:val="000C57B9"/>
    <w:rsid w:val="000D38DC"/>
    <w:rsid w:val="000E29D8"/>
    <w:rsid w:val="0010303E"/>
    <w:rsid w:val="0011327D"/>
    <w:rsid w:val="00116DA6"/>
    <w:rsid w:val="00137E15"/>
    <w:rsid w:val="001417A8"/>
    <w:rsid w:val="00144014"/>
    <w:rsid w:val="00153793"/>
    <w:rsid w:val="00172743"/>
    <w:rsid w:val="00175301"/>
    <w:rsid w:val="00180823"/>
    <w:rsid w:val="00193F04"/>
    <w:rsid w:val="001A5A68"/>
    <w:rsid w:val="001A6212"/>
    <w:rsid w:val="001A75E0"/>
    <w:rsid w:val="001B0046"/>
    <w:rsid w:val="001B731B"/>
    <w:rsid w:val="001C4ACE"/>
    <w:rsid w:val="001C699C"/>
    <w:rsid w:val="001E0CE1"/>
    <w:rsid w:val="001E1F7F"/>
    <w:rsid w:val="001E58CC"/>
    <w:rsid w:val="001F2A01"/>
    <w:rsid w:val="001F59ED"/>
    <w:rsid w:val="00211595"/>
    <w:rsid w:val="00211D37"/>
    <w:rsid w:val="00212204"/>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9147A"/>
    <w:rsid w:val="0029575E"/>
    <w:rsid w:val="00297225"/>
    <w:rsid w:val="002A005E"/>
    <w:rsid w:val="002A0270"/>
    <w:rsid w:val="002A4C92"/>
    <w:rsid w:val="002A66E2"/>
    <w:rsid w:val="002B3A2E"/>
    <w:rsid w:val="002C0488"/>
    <w:rsid w:val="002C4097"/>
    <w:rsid w:val="002C594E"/>
    <w:rsid w:val="002D3D42"/>
    <w:rsid w:val="002D479B"/>
    <w:rsid w:val="002D6EC9"/>
    <w:rsid w:val="002D787B"/>
    <w:rsid w:val="002E188B"/>
    <w:rsid w:val="00315DC4"/>
    <w:rsid w:val="00315E22"/>
    <w:rsid w:val="00317020"/>
    <w:rsid w:val="00320B4D"/>
    <w:rsid w:val="00326FF6"/>
    <w:rsid w:val="00327A22"/>
    <w:rsid w:val="00332BB8"/>
    <w:rsid w:val="0033513A"/>
    <w:rsid w:val="00342130"/>
    <w:rsid w:val="00346605"/>
    <w:rsid w:val="0035318F"/>
    <w:rsid w:val="00354C01"/>
    <w:rsid w:val="0036306A"/>
    <w:rsid w:val="003727DB"/>
    <w:rsid w:val="00386642"/>
    <w:rsid w:val="00392176"/>
    <w:rsid w:val="003921D6"/>
    <w:rsid w:val="00394701"/>
    <w:rsid w:val="003A298A"/>
    <w:rsid w:val="003A553B"/>
    <w:rsid w:val="003A566A"/>
    <w:rsid w:val="003B1EC9"/>
    <w:rsid w:val="003C2392"/>
    <w:rsid w:val="003C2E75"/>
    <w:rsid w:val="003E1304"/>
    <w:rsid w:val="003E35D4"/>
    <w:rsid w:val="003E7121"/>
    <w:rsid w:val="003F0731"/>
    <w:rsid w:val="003F33B4"/>
    <w:rsid w:val="00400F15"/>
    <w:rsid w:val="00405F6D"/>
    <w:rsid w:val="0041508D"/>
    <w:rsid w:val="00424124"/>
    <w:rsid w:val="00434212"/>
    <w:rsid w:val="00440F6E"/>
    <w:rsid w:val="00443645"/>
    <w:rsid w:val="00443CD6"/>
    <w:rsid w:val="004552C9"/>
    <w:rsid w:val="004607AC"/>
    <w:rsid w:val="0046127E"/>
    <w:rsid w:val="00466E46"/>
    <w:rsid w:val="004678E1"/>
    <w:rsid w:val="00473281"/>
    <w:rsid w:val="00473B68"/>
    <w:rsid w:val="0048301B"/>
    <w:rsid w:val="00483CB8"/>
    <w:rsid w:val="004A5ABE"/>
    <w:rsid w:val="004A6424"/>
    <w:rsid w:val="004A69D0"/>
    <w:rsid w:val="004A6A8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5007E9"/>
    <w:rsid w:val="00504C05"/>
    <w:rsid w:val="00504E5F"/>
    <w:rsid w:val="005055A6"/>
    <w:rsid w:val="00507060"/>
    <w:rsid w:val="0051179B"/>
    <w:rsid w:val="0051424F"/>
    <w:rsid w:val="00523623"/>
    <w:rsid w:val="005300F0"/>
    <w:rsid w:val="00532D27"/>
    <w:rsid w:val="005363F5"/>
    <w:rsid w:val="0054560C"/>
    <w:rsid w:val="00545FD3"/>
    <w:rsid w:val="0055464C"/>
    <w:rsid w:val="0056238B"/>
    <w:rsid w:val="00565BDB"/>
    <w:rsid w:val="005666A4"/>
    <w:rsid w:val="0057145F"/>
    <w:rsid w:val="005758E7"/>
    <w:rsid w:val="005778C8"/>
    <w:rsid w:val="0058120D"/>
    <w:rsid w:val="005A1A97"/>
    <w:rsid w:val="005B47BD"/>
    <w:rsid w:val="005B6FA6"/>
    <w:rsid w:val="005D2C51"/>
    <w:rsid w:val="005F21BF"/>
    <w:rsid w:val="005F613D"/>
    <w:rsid w:val="00603015"/>
    <w:rsid w:val="0060603E"/>
    <w:rsid w:val="0062674D"/>
    <w:rsid w:val="00631EB7"/>
    <w:rsid w:val="00632789"/>
    <w:rsid w:val="00634707"/>
    <w:rsid w:val="006439F2"/>
    <w:rsid w:val="00644034"/>
    <w:rsid w:val="006477B7"/>
    <w:rsid w:val="00652AC8"/>
    <w:rsid w:val="0066157D"/>
    <w:rsid w:val="0067125A"/>
    <w:rsid w:val="00671E30"/>
    <w:rsid w:val="006756FB"/>
    <w:rsid w:val="00677BD0"/>
    <w:rsid w:val="00685B82"/>
    <w:rsid w:val="00685E11"/>
    <w:rsid w:val="0069705B"/>
    <w:rsid w:val="006A0EDC"/>
    <w:rsid w:val="006A18DB"/>
    <w:rsid w:val="006A2D2E"/>
    <w:rsid w:val="006C1C85"/>
    <w:rsid w:val="006C452E"/>
    <w:rsid w:val="006D6ABC"/>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30DB"/>
    <w:rsid w:val="0075622F"/>
    <w:rsid w:val="0076067D"/>
    <w:rsid w:val="00782CDC"/>
    <w:rsid w:val="007839F9"/>
    <w:rsid w:val="00784132"/>
    <w:rsid w:val="0078568B"/>
    <w:rsid w:val="00786229"/>
    <w:rsid w:val="00791D57"/>
    <w:rsid w:val="007A2765"/>
    <w:rsid w:val="007A679E"/>
    <w:rsid w:val="007B13E5"/>
    <w:rsid w:val="007B2F6B"/>
    <w:rsid w:val="007B473A"/>
    <w:rsid w:val="007D0BB2"/>
    <w:rsid w:val="007D2C48"/>
    <w:rsid w:val="007E4144"/>
    <w:rsid w:val="007E546F"/>
    <w:rsid w:val="007F0AF3"/>
    <w:rsid w:val="007F1928"/>
    <w:rsid w:val="007F392E"/>
    <w:rsid w:val="00811A1B"/>
    <w:rsid w:val="00814815"/>
    <w:rsid w:val="00824DED"/>
    <w:rsid w:val="00826E5A"/>
    <w:rsid w:val="0083713D"/>
    <w:rsid w:val="008437B2"/>
    <w:rsid w:val="00843F1C"/>
    <w:rsid w:val="00850B73"/>
    <w:rsid w:val="00850DCE"/>
    <w:rsid w:val="00853591"/>
    <w:rsid w:val="00854FBB"/>
    <w:rsid w:val="00855C15"/>
    <w:rsid w:val="0086373E"/>
    <w:rsid w:val="008661BA"/>
    <w:rsid w:val="008671A6"/>
    <w:rsid w:val="00871CA8"/>
    <w:rsid w:val="00872E80"/>
    <w:rsid w:val="00885004"/>
    <w:rsid w:val="00886B7B"/>
    <w:rsid w:val="00887AB4"/>
    <w:rsid w:val="0089180A"/>
    <w:rsid w:val="00894290"/>
    <w:rsid w:val="008959CA"/>
    <w:rsid w:val="008A25A1"/>
    <w:rsid w:val="008B2D8E"/>
    <w:rsid w:val="008B39B6"/>
    <w:rsid w:val="008C1AFD"/>
    <w:rsid w:val="008C44BF"/>
    <w:rsid w:val="008C4B67"/>
    <w:rsid w:val="008D1AEF"/>
    <w:rsid w:val="008D5AB5"/>
    <w:rsid w:val="008E3C8E"/>
    <w:rsid w:val="008E48C2"/>
    <w:rsid w:val="008E6673"/>
    <w:rsid w:val="008F2160"/>
    <w:rsid w:val="00905E86"/>
    <w:rsid w:val="009124E4"/>
    <w:rsid w:val="00914CAE"/>
    <w:rsid w:val="00915C06"/>
    <w:rsid w:val="00917D0F"/>
    <w:rsid w:val="00924EA9"/>
    <w:rsid w:val="00925FA2"/>
    <w:rsid w:val="00926A9C"/>
    <w:rsid w:val="00927803"/>
    <w:rsid w:val="00930C24"/>
    <w:rsid w:val="00937310"/>
    <w:rsid w:val="009453B3"/>
    <w:rsid w:val="00957CD1"/>
    <w:rsid w:val="00961DB2"/>
    <w:rsid w:val="009653CD"/>
    <w:rsid w:val="0097292F"/>
    <w:rsid w:val="009741D9"/>
    <w:rsid w:val="00981FDC"/>
    <w:rsid w:val="00982CA4"/>
    <w:rsid w:val="00984235"/>
    <w:rsid w:val="00993D92"/>
    <w:rsid w:val="009A0B93"/>
    <w:rsid w:val="009A4D63"/>
    <w:rsid w:val="009A54FC"/>
    <w:rsid w:val="009B08C5"/>
    <w:rsid w:val="009B52C0"/>
    <w:rsid w:val="009C2167"/>
    <w:rsid w:val="009D46C1"/>
    <w:rsid w:val="009E0D02"/>
    <w:rsid w:val="009E4418"/>
    <w:rsid w:val="009E5838"/>
    <w:rsid w:val="00A0235E"/>
    <w:rsid w:val="00A04526"/>
    <w:rsid w:val="00A11704"/>
    <w:rsid w:val="00A11840"/>
    <w:rsid w:val="00A22671"/>
    <w:rsid w:val="00A22C61"/>
    <w:rsid w:val="00A262E4"/>
    <w:rsid w:val="00A26EC3"/>
    <w:rsid w:val="00A300E0"/>
    <w:rsid w:val="00A359C7"/>
    <w:rsid w:val="00A41CF3"/>
    <w:rsid w:val="00A4674D"/>
    <w:rsid w:val="00A547CE"/>
    <w:rsid w:val="00A55FF3"/>
    <w:rsid w:val="00A603CE"/>
    <w:rsid w:val="00A64CF7"/>
    <w:rsid w:val="00A76D14"/>
    <w:rsid w:val="00A821EA"/>
    <w:rsid w:val="00A8721E"/>
    <w:rsid w:val="00A92495"/>
    <w:rsid w:val="00AA5160"/>
    <w:rsid w:val="00AA5899"/>
    <w:rsid w:val="00AB75A3"/>
    <w:rsid w:val="00AB7FC6"/>
    <w:rsid w:val="00AC05AE"/>
    <w:rsid w:val="00AD115D"/>
    <w:rsid w:val="00AD16AE"/>
    <w:rsid w:val="00AD671F"/>
    <w:rsid w:val="00AD6C53"/>
    <w:rsid w:val="00AE72F4"/>
    <w:rsid w:val="00AF0A4B"/>
    <w:rsid w:val="00AF4BBC"/>
    <w:rsid w:val="00AF65DE"/>
    <w:rsid w:val="00B04278"/>
    <w:rsid w:val="00B12672"/>
    <w:rsid w:val="00B2434D"/>
    <w:rsid w:val="00B24D29"/>
    <w:rsid w:val="00B34716"/>
    <w:rsid w:val="00B3707E"/>
    <w:rsid w:val="00B61A13"/>
    <w:rsid w:val="00B6232D"/>
    <w:rsid w:val="00B648CA"/>
    <w:rsid w:val="00B74894"/>
    <w:rsid w:val="00B749FB"/>
    <w:rsid w:val="00B75FF7"/>
    <w:rsid w:val="00B82B83"/>
    <w:rsid w:val="00B909F7"/>
    <w:rsid w:val="00B96A24"/>
    <w:rsid w:val="00BA579D"/>
    <w:rsid w:val="00BA677D"/>
    <w:rsid w:val="00BA6FDB"/>
    <w:rsid w:val="00BB02ED"/>
    <w:rsid w:val="00BB3CBF"/>
    <w:rsid w:val="00BB5132"/>
    <w:rsid w:val="00BC31F9"/>
    <w:rsid w:val="00BC6F83"/>
    <w:rsid w:val="00BC704C"/>
    <w:rsid w:val="00BD34B4"/>
    <w:rsid w:val="00BF2C5D"/>
    <w:rsid w:val="00BF31E3"/>
    <w:rsid w:val="00BF5F1C"/>
    <w:rsid w:val="00C02BBA"/>
    <w:rsid w:val="00C07731"/>
    <w:rsid w:val="00C17E83"/>
    <w:rsid w:val="00C218A9"/>
    <w:rsid w:val="00C26B75"/>
    <w:rsid w:val="00C40BE6"/>
    <w:rsid w:val="00C46ABC"/>
    <w:rsid w:val="00C47EE0"/>
    <w:rsid w:val="00C63006"/>
    <w:rsid w:val="00C67568"/>
    <w:rsid w:val="00C7007B"/>
    <w:rsid w:val="00C71871"/>
    <w:rsid w:val="00C724F1"/>
    <w:rsid w:val="00C735F1"/>
    <w:rsid w:val="00C913B6"/>
    <w:rsid w:val="00C91C5E"/>
    <w:rsid w:val="00C92E44"/>
    <w:rsid w:val="00CA6EA3"/>
    <w:rsid w:val="00CB15A7"/>
    <w:rsid w:val="00CB6D97"/>
    <w:rsid w:val="00CC09CE"/>
    <w:rsid w:val="00CE0C9D"/>
    <w:rsid w:val="00CE5DF3"/>
    <w:rsid w:val="00D134C5"/>
    <w:rsid w:val="00D14268"/>
    <w:rsid w:val="00D21527"/>
    <w:rsid w:val="00D23CDC"/>
    <w:rsid w:val="00D25AA2"/>
    <w:rsid w:val="00D26593"/>
    <w:rsid w:val="00D268EB"/>
    <w:rsid w:val="00D26CFF"/>
    <w:rsid w:val="00D274C6"/>
    <w:rsid w:val="00D431ED"/>
    <w:rsid w:val="00D446F1"/>
    <w:rsid w:val="00D456D8"/>
    <w:rsid w:val="00D45A0E"/>
    <w:rsid w:val="00D4758C"/>
    <w:rsid w:val="00D50169"/>
    <w:rsid w:val="00D5391C"/>
    <w:rsid w:val="00D55FAB"/>
    <w:rsid w:val="00D56786"/>
    <w:rsid w:val="00D61EAB"/>
    <w:rsid w:val="00D701D3"/>
    <w:rsid w:val="00D7445F"/>
    <w:rsid w:val="00D86356"/>
    <w:rsid w:val="00D876A8"/>
    <w:rsid w:val="00D91E8D"/>
    <w:rsid w:val="00D92B1D"/>
    <w:rsid w:val="00DA0B2C"/>
    <w:rsid w:val="00DB0323"/>
    <w:rsid w:val="00DB1FA7"/>
    <w:rsid w:val="00DB3BFC"/>
    <w:rsid w:val="00DC0E31"/>
    <w:rsid w:val="00DC70D0"/>
    <w:rsid w:val="00DC7DD6"/>
    <w:rsid w:val="00DD2789"/>
    <w:rsid w:val="00DD3971"/>
    <w:rsid w:val="00DE001E"/>
    <w:rsid w:val="00DE2A3F"/>
    <w:rsid w:val="00DF5F45"/>
    <w:rsid w:val="00E03E65"/>
    <w:rsid w:val="00E10A19"/>
    <w:rsid w:val="00E12830"/>
    <w:rsid w:val="00E13146"/>
    <w:rsid w:val="00E174FC"/>
    <w:rsid w:val="00E20070"/>
    <w:rsid w:val="00E20994"/>
    <w:rsid w:val="00E22124"/>
    <w:rsid w:val="00E261AD"/>
    <w:rsid w:val="00E324C0"/>
    <w:rsid w:val="00E40344"/>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2184"/>
    <w:rsid w:val="00F05333"/>
    <w:rsid w:val="00F154D0"/>
    <w:rsid w:val="00F261D6"/>
    <w:rsid w:val="00F26D45"/>
    <w:rsid w:val="00F30C84"/>
    <w:rsid w:val="00F35704"/>
    <w:rsid w:val="00F35911"/>
    <w:rsid w:val="00F35DD7"/>
    <w:rsid w:val="00F42D43"/>
    <w:rsid w:val="00F4404C"/>
    <w:rsid w:val="00F47A5A"/>
    <w:rsid w:val="00F57965"/>
    <w:rsid w:val="00F7084A"/>
    <w:rsid w:val="00F71810"/>
    <w:rsid w:val="00F72ABE"/>
    <w:rsid w:val="00F72B1B"/>
    <w:rsid w:val="00F7596C"/>
    <w:rsid w:val="00F77E12"/>
    <w:rsid w:val="00F814DE"/>
    <w:rsid w:val="00F86DFC"/>
    <w:rsid w:val="00F90045"/>
    <w:rsid w:val="00F925FE"/>
    <w:rsid w:val="00FA0472"/>
    <w:rsid w:val="00FA28D1"/>
    <w:rsid w:val="00FA6558"/>
    <w:rsid w:val="00FB2665"/>
    <w:rsid w:val="00FD489B"/>
    <w:rsid w:val="00FD530D"/>
    <w:rsid w:val="00FD5B23"/>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8E48F"/>
  <w15:chartTrackingRefBased/>
  <w15:docId w15:val="{E1A4DE8E-151D-934B-AA2E-D60B7F3A3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2A4C92"/>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1E1F7F"/>
    <w:rPr>
      <w:rFonts w:ascii="Times New Roman" w:eastAsia="Times New Roman" w:hAnsi="Times New Roman"/>
      <w:b/>
      <w:bCs/>
      <w:sz w:val="22"/>
      <w:lang w:val="en-GB" w:eastAsia="zh-CN"/>
    </w:rPr>
  </w:style>
  <w:style w:type="table" w:styleId="TableGrid">
    <w:name w:val="Table Grid"/>
    <w:basedOn w:val="TableNormal"/>
    <w:uiPriority w:val="39"/>
    <w:rsid w:val="00483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71991480">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2679097">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241715747">
      <w:bodyDiv w:val="1"/>
      <w:marLeft w:val="0"/>
      <w:marRight w:val="0"/>
      <w:marTop w:val="0"/>
      <w:marBottom w:val="0"/>
      <w:divBdr>
        <w:top w:val="none" w:sz="0" w:space="0" w:color="auto"/>
        <w:left w:val="none" w:sz="0" w:space="0" w:color="auto"/>
        <w:bottom w:val="none" w:sz="0" w:space="0" w:color="auto"/>
        <w:right w:val="none" w:sz="0" w:space="0" w:color="auto"/>
      </w:divBdr>
      <w:divsChild>
        <w:div w:id="2029091104">
          <w:marLeft w:val="0"/>
          <w:marRight w:val="0"/>
          <w:marTop w:val="0"/>
          <w:marBottom w:val="0"/>
          <w:divBdr>
            <w:top w:val="none" w:sz="0" w:space="0" w:color="auto"/>
            <w:left w:val="none" w:sz="0" w:space="0" w:color="auto"/>
            <w:bottom w:val="none" w:sz="0" w:space="0" w:color="auto"/>
            <w:right w:val="none" w:sz="0" w:space="0" w:color="auto"/>
          </w:divBdr>
          <w:divsChild>
            <w:div w:id="1648242057">
              <w:marLeft w:val="0"/>
              <w:marRight w:val="0"/>
              <w:marTop w:val="0"/>
              <w:marBottom w:val="0"/>
              <w:divBdr>
                <w:top w:val="none" w:sz="0" w:space="0" w:color="auto"/>
                <w:left w:val="none" w:sz="0" w:space="0" w:color="auto"/>
                <w:bottom w:val="none" w:sz="0" w:space="0" w:color="auto"/>
                <w:right w:val="none" w:sz="0" w:space="0" w:color="auto"/>
              </w:divBdr>
            </w:div>
          </w:divsChild>
        </w:div>
        <w:div w:id="626207162">
          <w:marLeft w:val="0"/>
          <w:marRight w:val="0"/>
          <w:marTop w:val="0"/>
          <w:marBottom w:val="0"/>
          <w:divBdr>
            <w:top w:val="none" w:sz="0" w:space="0" w:color="auto"/>
            <w:left w:val="none" w:sz="0" w:space="0" w:color="auto"/>
            <w:bottom w:val="none" w:sz="0" w:space="0" w:color="auto"/>
            <w:right w:val="none" w:sz="0" w:space="0" w:color="auto"/>
          </w:divBdr>
          <w:divsChild>
            <w:div w:id="1762069596">
              <w:marLeft w:val="0"/>
              <w:marRight w:val="0"/>
              <w:marTop w:val="0"/>
              <w:marBottom w:val="0"/>
              <w:divBdr>
                <w:top w:val="none" w:sz="0" w:space="0" w:color="auto"/>
                <w:left w:val="none" w:sz="0" w:space="0" w:color="auto"/>
                <w:bottom w:val="none" w:sz="0" w:space="0" w:color="auto"/>
                <w:right w:val="none" w:sz="0" w:space="0" w:color="auto"/>
              </w:divBdr>
            </w:div>
          </w:divsChild>
        </w:div>
        <w:div w:id="1118642817">
          <w:marLeft w:val="0"/>
          <w:marRight w:val="0"/>
          <w:marTop w:val="0"/>
          <w:marBottom w:val="0"/>
          <w:divBdr>
            <w:top w:val="none" w:sz="0" w:space="0" w:color="auto"/>
            <w:left w:val="none" w:sz="0" w:space="0" w:color="auto"/>
            <w:bottom w:val="none" w:sz="0" w:space="0" w:color="auto"/>
            <w:right w:val="none" w:sz="0" w:space="0" w:color="auto"/>
          </w:divBdr>
          <w:divsChild>
            <w:div w:id="1190532436">
              <w:marLeft w:val="0"/>
              <w:marRight w:val="0"/>
              <w:marTop w:val="0"/>
              <w:marBottom w:val="0"/>
              <w:divBdr>
                <w:top w:val="none" w:sz="0" w:space="0" w:color="auto"/>
                <w:left w:val="none" w:sz="0" w:space="0" w:color="auto"/>
                <w:bottom w:val="none" w:sz="0" w:space="0" w:color="auto"/>
                <w:right w:val="none" w:sz="0" w:space="0" w:color="auto"/>
              </w:divBdr>
            </w:div>
          </w:divsChild>
        </w:div>
        <w:div w:id="599221073">
          <w:marLeft w:val="0"/>
          <w:marRight w:val="0"/>
          <w:marTop w:val="0"/>
          <w:marBottom w:val="0"/>
          <w:divBdr>
            <w:top w:val="none" w:sz="0" w:space="0" w:color="auto"/>
            <w:left w:val="none" w:sz="0" w:space="0" w:color="auto"/>
            <w:bottom w:val="none" w:sz="0" w:space="0" w:color="auto"/>
            <w:right w:val="none" w:sz="0" w:space="0" w:color="auto"/>
          </w:divBdr>
          <w:divsChild>
            <w:div w:id="1317149982">
              <w:marLeft w:val="0"/>
              <w:marRight w:val="0"/>
              <w:marTop w:val="0"/>
              <w:marBottom w:val="0"/>
              <w:divBdr>
                <w:top w:val="none" w:sz="0" w:space="0" w:color="auto"/>
                <w:left w:val="none" w:sz="0" w:space="0" w:color="auto"/>
                <w:bottom w:val="none" w:sz="0" w:space="0" w:color="auto"/>
                <w:right w:val="none" w:sz="0" w:space="0" w:color="auto"/>
              </w:divBdr>
            </w:div>
          </w:divsChild>
        </w:div>
        <w:div w:id="790053419">
          <w:marLeft w:val="0"/>
          <w:marRight w:val="0"/>
          <w:marTop w:val="0"/>
          <w:marBottom w:val="0"/>
          <w:divBdr>
            <w:top w:val="none" w:sz="0" w:space="0" w:color="auto"/>
            <w:left w:val="none" w:sz="0" w:space="0" w:color="auto"/>
            <w:bottom w:val="none" w:sz="0" w:space="0" w:color="auto"/>
            <w:right w:val="none" w:sz="0" w:space="0" w:color="auto"/>
          </w:divBdr>
          <w:divsChild>
            <w:div w:id="760638379">
              <w:marLeft w:val="0"/>
              <w:marRight w:val="0"/>
              <w:marTop w:val="0"/>
              <w:marBottom w:val="0"/>
              <w:divBdr>
                <w:top w:val="none" w:sz="0" w:space="0" w:color="auto"/>
                <w:left w:val="none" w:sz="0" w:space="0" w:color="auto"/>
                <w:bottom w:val="none" w:sz="0" w:space="0" w:color="auto"/>
                <w:right w:val="none" w:sz="0" w:space="0" w:color="auto"/>
              </w:divBdr>
            </w:div>
          </w:divsChild>
        </w:div>
        <w:div w:id="510490103">
          <w:marLeft w:val="0"/>
          <w:marRight w:val="0"/>
          <w:marTop w:val="0"/>
          <w:marBottom w:val="0"/>
          <w:divBdr>
            <w:top w:val="none" w:sz="0" w:space="0" w:color="auto"/>
            <w:left w:val="none" w:sz="0" w:space="0" w:color="auto"/>
            <w:bottom w:val="none" w:sz="0" w:space="0" w:color="auto"/>
            <w:right w:val="none" w:sz="0" w:space="0" w:color="auto"/>
          </w:divBdr>
          <w:divsChild>
            <w:div w:id="121309539">
              <w:marLeft w:val="0"/>
              <w:marRight w:val="0"/>
              <w:marTop w:val="0"/>
              <w:marBottom w:val="0"/>
              <w:divBdr>
                <w:top w:val="none" w:sz="0" w:space="0" w:color="auto"/>
                <w:left w:val="none" w:sz="0" w:space="0" w:color="auto"/>
                <w:bottom w:val="none" w:sz="0" w:space="0" w:color="auto"/>
                <w:right w:val="none" w:sz="0" w:space="0" w:color="auto"/>
              </w:divBdr>
            </w:div>
          </w:divsChild>
        </w:div>
        <w:div w:id="182286058">
          <w:marLeft w:val="0"/>
          <w:marRight w:val="0"/>
          <w:marTop w:val="0"/>
          <w:marBottom w:val="0"/>
          <w:divBdr>
            <w:top w:val="none" w:sz="0" w:space="0" w:color="auto"/>
            <w:left w:val="none" w:sz="0" w:space="0" w:color="auto"/>
            <w:bottom w:val="none" w:sz="0" w:space="0" w:color="auto"/>
            <w:right w:val="none" w:sz="0" w:space="0" w:color="auto"/>
          </w:divBdr>
          <w:divsChild>
            <w:div w:id="767847759">
              <w:marLeft w:val="0"/>
              <w:marRight w:val="0"/>
              <w:marTop w:val="0"/>
              <w:marBottom w:val="0"/>
              <w:divBdr>
                <w:top w:val="none" w:sz="0" w:space="0" w:color="auto"/>
                <w:left w:val="none" w:sz="0" w:space="0" w:color="auto"/>
                <w:bottom w:val="none" w:sz="0" w:space="0" w:color="auto"/>
                <w:right w:val="none" w:sz="0" w:space="0" w:color="auto"/>
              </w:divBdr>
            </w:div>
          </w:divsChild>
        </w:div>
        <w:div w:id="424884587">
          <w:marLeft w:val="0"/>
          <w:marRight w:val="0"/>
          <w:marTop w:val="0"/>
          <w:marBottom w:val="0"/>
          <w:divBdr>
            <w:top w:val="none" w:sz="0" w:space="0" w:color="auto"/>
            <w:left w:val="none" w:sz="0" w:space="0" w:color="auto"/>
            <w:bottom w:val="none" w:sz="0" w:space="0" w:color="auto"/>
            <w:right w:val="none" w:sz="0" w:space="0" w:color="auto"/>
          </w:divBdr>
          <w:divsChild>
            <w:div w:id="454368245">
              <w:marLeft w:val="0"/>
              <w:marRight w:val="0"/>
              <w:marTop w:val="0"/>
              <w:marBottom w:val="0"/>
              <w:divBdr>
                <w:top w:val="none" w:sz="0" w:space="0" w:color="auto"/>
                <w:left w:val="none" w:sz="0" w:space="0" w:color="auto"/>
                <w:bottom w:val="none" w:sz="0" w:space="0" w:color="auto"/>
                <w:right w:val="none" w:sz="0" w:space="0" w:color="auto"/>
              </w:divBdr>
            </w:div>
          </w:divsChild>
        </w:div>
        <w:div w:id="186718189">
          <w:marLeft w:val="0"/>
          <w:marRight w:val="0"/>
          <w:marTop w:val="0"/>
          <w:marBottom w:val="0"/>
          <w:divBdr>
            <w:top w:val="none" w:sz="0" w:space="0" w:color="auto"/>
            <w:left w:val="none" w:sz="0" w:space="0" w:color="auto"/>
            <w:bottom w:val="none" w:sz="0" w:space="0" w:color="auto"/>
            <w:right w:val="none" w:sz="0" w:space="0" w:color="auto"/>
          </w:divBdr>
          <w:divsChild>
            <w:div w:id="1715882853">
              <w:marLeft w:val="0"/>
              <w:marRight w:val="0"/>
              <w:marTop w:val="0"/>
              <w:marBottom w:val="0"/>
              <w:divBdr>
                <w:top w:val="none" w:sz="0" w:space="0" w:color="auto"/>
                <w:left w:val="none" w:sz="0" w:space="0" w:color="auto"/>
                <w:bottom w:val="none" w:sz="0" w:space="0" w:color="auto"/>
                <w:right w:val="none" w:sz="0" w:space="0" w:color="auto"/>
              </w:divBdr>
            </w:div>
          </w:divsChild>
        </w:div>
        <w:div w:id="1453281074">
          <w:marLeft w:val="0"/>
          <w:marRight w:val="0"/>
          <w:marTop w:val="0"/>
          <w:marBottom w:val="0"/>
          <w:divBdr>
            <w:top w:val="none" w:sz="0" w:space="0" w:color="auto"/>
            <w:left w:val="none" w:sz="0" w:space="0" w:color="auto"/>
            <w:bottom w:val="none" w:sz="0" w:space="0" w:color="auto"/>
            <w:right w:val="none" w:sz="0" w:space="0" w:color="auto"/>
          </w:divBdr>
          <w:divsChild>
            <w:div w:id="1960645355">
              <w:marLeft w:val="0"/>
              <w:marRight w:val="0"/>
              <w:marTop w:val="0"/>
              <w:marBottom w:val="0"/>
              <w:divBdr>
                <w:top w:val="none" w:sz="0" w:space="0" w:color="auto"/>
                <w:left w:val="none" w:sz="0" w:space="0" w:color="auto"/>
                <w:bottom w:val="none" w:sz="0" w:space="0" w:color="auto"/>
                <w:right w:val="none" w:sz="0" w:space="0" w:color="auto"/>
              </w:divBdr>
            </w:div>
          </w:divsChild>
        </w:div>
        <w:div w:id="297730615">
          <w:marLeft w:val="0"/>
          <w:marRight w:val="0"/>
          <w:marTop w:val="0"/>
          <w:marBottom w:val="0"/>
          <w:divBdr>
            <w:top w:val="none" w:sz="0" w:space="0" w:color="auto"/>
            <w:left w:val="none" w:sz="0" w:space="0" w:color="auto"/>
            <w:bottom w:val="none" w:sz="0" w:space="0" w:color="auto"/>
            <w:right w:val="none" w:sz="0" w:space="0" w:color="auto"/>
          </w:divBdr>
          <w:divsChild>
            <w:div w:id="1387408878">
              <w:marLeft w:val="0"/>
              <w:marRight w:val="0"/>
              <w:marTop w:val="0"/>
              <w:marBottom w:val="0"/>
              <w:divBdr>
                <w:top w:val="none" w:sz="0" w:space="0" w:color="auto"/>
                <w:left w:val="none" w:sz="0" w:space="0" w:color="auto"/>
                <w:bottom w:val="none" w:sz="0" w:space="0" w:color="auto"/>
                <w:right w:val="none" w:sz="0" w:space="0" w:color="auto"/>
              </w:divBdr>
            </w:div>
          </w:divsChild>
        </w:div>
        <w:div w:id="1954553390">
          <w:marLeft w:val="0"/>
          <w:marRight w:val="0"/>
          <w:marTop w:val="0"/>
          <w:marBottom w:val="0"/>
          <w:divBdr>
            <w:top w:val="none" w:sz="0" w:space="0" w:color="auto"/>
            <w:left w:val="none" w:sz="0" w:space="0" w:color="auto"/>
            <w:bottom w:val="none" w:sz="0" w:space="0" w:color="auto"/>
            <w:right w:val="none" w:sz="0" w:space="0" w:color="auto"/>
          </w:divBdr>
          <w:divsChild>
            <w:div w:id="2119720092">
              <w:marLeft w:val="0"/>
              <w:marRight w:val="0"/>
              <w:marTop w:val="0"/>
              <w:marBottom w:val="0"/>
              <w:divBdr>
                <w:top w:val="none" w:sz="0" w:space="0" w:color="auto"/>
                <w:left w:val="none" w:sz="0" w:space="0" w:color="auto"/>
                <w:bottom w:val="none" w:sz="0" w:space="0" w:color="auto"/>
                <w:right w:val="none" w:sz="0" w:space="0" w:color="auto"/>
              </w:divBdr>
            </w:div>
          </w:divsChild>
        </w:div>
        <w:div w:id="76947959">
          <w:marLeft w:val="0"/>
          <w:marRight w:val="0"/>
          <w:marTop w:val="0"/>
          <w:marBottom w:val="0"/>
          <w:divBdr>
            <w:top w:val="none" w:sz="0" w:space="0" w:color="auto"/>
            <w:left w:val="none" w:sz="0" w:space="0" w:color="auto"/>
            <w:bottom w:val="none" w:sz="0" w:space="0" w:color="auto"/>
            <w:right w:val="none" w:sz="0" w:space="0" w:color="auto"/>
          </w:divBdr>
          <w:divsChild>
            <w:div w:id="1832256699">
              <w:marLeft w:val="0"/>
              <w:marRight w:val="0"/>
              <w:marTop w:val="0"/>
              <w:marBottom w:val="0"/>
              <w:divBdr>
                <w:top w:val="none" w:sz="0" w:space="0" w:color="auto"/>
                <w:left w:val="none" w:sz="0" w:space="0" w:color="auto"/>
                <w:bottom w:val="none" w:sz="0" w:space="0" w:color="auto"/>
                <w:right w:val="none" w:sz="0" w:space="0" w:color="auto"/>
              </w:divBdr>
            </w:div>
          </w:divsChild>
        </w:div>
        <w:div w:id="61753989">
          <w:marLeft w:val="0"/>
          <w:marRight w:val="0"/>
          <w:marTop w:val="0"/>
          <w:marBottom w:val="0"/>
          <w:divBdr>
            <w:top w:val="none" w:sz="0" w:space="0" w:color="auto"/>
            <w:left w:val="none" w:sz="0" w:space="0" w:color="auto"/>
            <w:bottom w:val="none" w:sz="0" w:space="0" w:color="auto"/>
            <w:right w:val="none" w:sz="0" w:space="0" w:color="auto"/>
          </w:divBdr>
          <w:divsChild>
            <w:div w:id="300380141">
              <w:marLeft w:val="0"/>
              <w:marRight w:val="0"/>
              <w:marTop w:val="0"/>
              <w:marBottom w:val="0"/>
              <w:divBdr>
                <w:top w:val="none" w:sz="0" w:space="0" w:color="auto"/>
                <w:left w:val="none" w:sz="0" w:space="0" w:color="auto"/>
                <w:bottom w:val="none" w:sz="0" w:space="0" w:color="auto"/>
                <w:right w:val="none" w:sz="0" w:space="0" w:color="auto"/>
              </w:divBdr>
            </w:div>
          </w:divsChild>
        </w:div>
        <w:div w:id="1987199759">
          <w:marLeft w:val="0"/>
          <w:marRight w:val="0"/>
          <w:marTop w:val="0"/>
          <w:marBottom w:val="0"/>
          <w:divBdr>
            <w:top w:val="none" w:sz="0" w:space="0" w:color="auto"/>
            <w:left w:val="none" w:sz="0" w:space="0" w:color="auto"/>
            <w:bottom w:val="none" w:sz="0" w:space="0" w:color="auto"/>
            <w:right w:val="none" w:sz="0" w:space="0" w:color="auto"/>
          </w:divBdr>
          <w:divsChild>
            <w:div w:id="1871801151">
              <w:marLeft w:val="0"/>
              <w:marRight w:val="0"/>
              <w:marTop w:val="0"/>
              <w:marBottom w:val="0"/>
              <w:divBdr>
                <w:top w:val="none" w:sz="0" w:space="0" w:color="auto"/>
                <w:left w:val="none" w:sz="0" w:space="0" w:color="auto"/>
                <w:bottom w:val="none" w:sz="0" w:space="0" w:color="auto"/>
                <w:right w:val="none" w:sz="0" w:space="0" w:color="auto"/>
              </w:divBdr>
            </w:div>
          </w:divsChild>
        </w:div>
        <w:div w:id="1851530132">
          <w:marLeft w:val="0"/>
          <w:marRight w:val="0"/>
          <w:marTop w:val="0"/>
          <w:marBottom w:val="0"/>
          <w:divBdr>
            <w:top w:val="none" w:sz="0" w:space="0" w:color="auto"/>
            <w:left w:val="none" w:sz="0" w:space="0" w:color="auto"/>
            <w:bottom w:val="none" w:sz="0" w:space="0" w:color="auto"/>
            <w:right w:val="none" w:sz="0" w:space="0" w:color="auto"/>
          </w:divBdr>
          <w:divsChild>
            <w:div w:id="968627938">
              <w:marLeft w:val="0"/>
              <w:marRight w:val="0"/>
              <w:marTop w:val="0"/>
              <w:marBottom w:val="0"/>
              <w:divBdr>
                <w:top w:val="none" w:sz="0" w:space="0" w:color="auto"/>
                <w:left w:val="none" w:sz="0" w:space="0" w:color="auto"/>
                <w:bottom w:val="none" w:sz="0" w:space="0" w:color="auto"/>
                <w:right w:val="none" w:sz="0" w:space="0" w:color="auto"/>
              </w:divBdr>
            </w:div>
          </w:divsChild>
        </w:div>
        <w:div w:id="585649113">
          <w:marLeft w:val="0"/>
          <w:marRight w:val="0"/>
          <w:marTop w:val="0"/>
          <w:marBottom w:val="0"/>
          <w:divBdr>
            <w:top w:val="none" w:sz="0" w:space="0" w:color="auto"/>
            <w:left w:val="none" w:sz="0" w:space="0" w:color="auto"/>
            <w:bottom w:val="none" w:sz="0" w:space="0" w:color="auto"/>
            <w:right w:val="none" w:sz="0" w:space="0" w:color="auto"/>
          </w:divBdr>
          <w:divsChild>
            <w:div w:id="12924946">
              <w:marLeft w:val="0"/>
              <w:marRight w:val="0"/>
              <w:marTop w:val="0"/>
              <w:marBottom w:val="0"/>
              <w:divBdr>
                <w:top w:val="none" w:sz="0" w:space="0" w:color="auto"/>
                <w:left w:val="none" w:sz="0" w:space="0" w:color="auto"/>
                <w:bottom w:val="none" w:sz="0" w:space="0" w:color="auto"/>
                <w:right w:val="none" w:sz="0" w:space="0" w:color="auto"/>
              </w:divBdr>
            </w:div>
          </w:divsChild>
        </w:div>
        <w:div w:id="1961374442">
          <w:marLeft w:val="0"/>
          <w:marRight w:val="0"/>
          <w:marTop w:val="0"/>
          <w:marBottom w:val="0"/>
          <w:divBdr>
            <w:top w:val="none" w:sz="0" w:space="0" w:color="auto"/>
            <w:left w:val="none" w:sz="0" w:space="0" w:color="auto"/>
            <w:bottom w:val="none" w:sz="0" w:space="0" w:color="auto"/>
            <w:right w:val="none" w:sz="0" w:space="0" w:color="auto"/>
          </w:divBdr>
          <w:divsChild>
            <w:div w:id="1806385973">
              <w:marLeft w:val="0"/>
              <w:marRight w:val="0"/>
              <w:marTop w:val="0"/>
              <w:marBottom w:val="0"/>
              <w:divBdr>
                <w:top w:val="none" w:sz="0" w:space="0" w:color="auto"/>
                <w:left w:val="none" w:sz="0" w:space="0" w:color="auto"/>
                <w:bottom w:val="none" w:sz="0" w:space="0" w:color="auto"/>
                <w:right w:val="none" w:sz="0" w:space="0" w:color="auto"/>
              </w:divBdr>
            </w:div>
          </w:divsChild>
        </w:div>
        <w:div w:id="811097318">
          <w:marLeft w:val="0"/>
          <w:marRight w:val="0"/>
          <w:marTop w:val="0"/>
          <w:marBottom w:val="0"/>
          <w:divBdr>
            <w:top w:val="none" w:sz="0" w:space="0" w:color="auto"/>
            <w:left w:val="none" w:sz="0" w:space="0" w:color="auto"/>
            <w:bottom w:val="none" w:sz="0" w:space="0" w:color="auto"/>
            <w:right w:val="none" w:sz="0" w:space="0" w:color="auto"/>
          </w:divBdr>
          <w:divsChild>
            <w:div w:id="1210339094">
              <w:marLeft w:val="0"/>
              <w:marRight w:val="0"/>
              <w:marTop w:val="0"/>
              <w:marBottom w:val="0"/>
              <w:divBdr>
                <w:top w:val="none" w:sz="0" w:space="0" w:color="auto"/>
                <w:left w:val="none" w:sz="0" w:space="0" w:color="auto"/>
                <w:bottom w:val="none" w:sz="0" w:space="0" w:color="auto"/>
                <w:right w:val="none" w:sz="0" w:space="0" w:color="auto"/>
              </w:divBdr>
            </w:div>
          </w:divsChild>
        </w:div>
        <w:div w:id="1878395371">
          <w:marLeft w:val="0"/>
          <w:marRight w:val="0"/>
          <w:marTop w:val="0"/>
          <w:marBottom w:val="0"/>
          <w:divBdr>
            <w:top w:val="none" w:sz="0" w:space="0" w:color="auto"/>
            <w:left w:val="none" w:sz="0" w:space="0" w:color="auto"/>
            <w:bottom w:val="none" w:sz="0" w:space="0" w:color="auto"/>
            <w:right w:val="none" w:sz="0" w:space="0" w:color="auto"/>
          </w:divBdr>
          <w:divsChild>
            <w:div w:id="61174735">
              <w:marLeft w:val="0"/>
              <w:marRight w:val="0"/>
              <w:marTop w:val="0"/>
              <w:marBottom w:val="0"/>
              <w:divBdr>
                <w:top w:val="none" w:sz="0" w:space="0" w:color="auto"/>
                <w:left w:val="none" w:sz="0" w:space="0" w:color="auto"/>
                <w:bottom w:val="none" w:sz="0" w:space="0" w:color="auto"/>
                <w:right w:val="none" w:sz="0" w:space="0" w:color="auto"/>
              </w:divBdr>
            </w:div>
          </w:divsChild>
        </w:div>
        <w:div w:id="1441418353">
          <w:marLeft w:val="0"/>
          <w:marRight w:val="0"/>
          <w:marTop w:val="0"/>
          <w:marBottom w:val="0"/>
          <w:divBdr>
            <w:top w:val="none" w:sz="0" w:space="0" w:color="auto"/>
            <w:left w:val="none" w:sz="0" w:space="0" w:color="auto"/>
            <w:bottom w:val="none" w:sz="0" w:space="0" w:color="auto"/>
            <w:right w:val="none" w:sz="0" w:space="0" w:color="auto"/>
          </w:divBdr>
          <w:divsChild>
            <w:div w:id="1949459572">
              <w:marLeft w:val="0"/>
              <w:marRight w:val="0"/>
              <w:marTop w:val="0"/>
              <w:marBottom w:val="0"/>
              <w:divBdr>
                <w:top w:val="none" w:sz="0" w:space="0" w:color="auto"/>
                <w:left w:val="none" w:sz="0" w:space="0" w:color="auto"/>
                <w:bottom w:val="none" w:sz="0" w:space="0" w:color="auto"/>
                <w:right w:val="none" w:sz="0" w:space="0" w:color="auto"/>
              </w:divBdr>
            </w:div>
          </w:divsChild>
        </w:div>
        <w:div w:id="1962104790">
          <w:marLeft w:val="0"/>
          <w:marRight w:val="0"/>
          <w:marTop w:val="0"/>
          <w:marBottom w:val="0"/>
          <w:divBdr>
            <w:top w:val="none" w:sz="0" w:space="0" w:color="auto"/>
            <w:left w:val="none" w:sz="0" w:space="0" w:color="auto"/>
            <w:bottom w:val="none" w:sz="0" w:space="0" w:color="auto"/>
            <w:right w:val="none" w:sz="0" w:space="0" w:color="auto"/>
          </w:divBdr>
          <w:divsChild>
            <w:div w:id="66035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9862361">
      <w:bodyDiv w:val="1"/>
      <w:marLeft w:val="0"/>
      <w:marRight w:val="0"/>
      <w:marTop w:val="0"/>
      <w:marBottom w:val="0"/>
      <w:divBdr>
        <w:top w:val="none" w:sz="0" w:space="0" w:color="auto"/>
        <w:left w:val="none" w:sz="0" w:space="0" w:color="auto"/>
        <w:bottom w:val="none" w:sz="0" w:space="0" w:color="auto"/>
        <w:right w:val="none" w:sz="0" w:space="0" w:color="auto"/>
      </w:divBdr>
      <w:divsChild>
        <w:div w:id="1673603493">
          <w:marLeft w:val="0"/>
          <w:marRight w:val="0"/>
          <w:marTop w:val="0"/>
          <w:marBottom w:val="0"/>
          <w:divBdr>
            <w:top w:val="none" w:sz="0" w:space="0" w:color="auto"/>
            <w:left w:val="none" w:sz="0" w:space="0" w:color="auto"/>
            <w:bottom w:val="none" w:sz="0" w:space="0" w:color="auto"/>
            <w:right w:val="none" w:sz="0" w:space="0" w:color="auto"/>
          </w:divBdr>
          <w:divsChild>
            <w:div w:id="272368699">
              <w:marLeft w:val="0"/>
              <w:marRight w:val="0"/>
              <w:marTop w:val="0"/>
              <w:marBottom w:val="0"/>
              <w:divBdr>
                <w:top w:val="none" w:sz="0" w:space="0" w:color="auto"/>
                <w:left w:val="none" w:sz="0" w:space="0" w:color="auto"/>
                <w:bottom w:val="none" w:sz="0" w:space="0" w:color="auto"/>
                <w:right w:val="none" w:sz="0" w:space="0" w:color="auto"/>
              </w:divBdr>
            </w:div>
          </w:divsChild>
        </w:div>
        <w:div w:id="534002529">
          <w:marLeft w:val="0"/>
          <w:marRight w:val="0"/>
          <w:marTop w:val="0"/>
          <w:marBottom w:val="0"/>
          <w:divBdr>
            <w:top w:val="none" w:sz="0" w:space="0" w:color="auto"/>
            <w:left w:val="none" w:sz="0" w:space="0" w:color="auto"/>
            <w:bottom w:val="none" w:sz="0" w:space="0" w:color="auto"/>
            <w:right w:val="none" w:sz="0" w:space="0" w:color="auto"/>
          </w:divBdr>
          <w:divsChild>
            <w:div w:id="894007429">
              <w:marLeft w:val="0"/>
              <w:marRight w:val="0"/>
              <w:marTop w:val="0"/>
              <w:marBottom w:val="0"/>
              <w:divBdr>
                <w:top w:val="none" w:sz="0" w:space="0" w:color="auto"/>
                <w:left w:val="none" w:sz="0" w:space="0" w:color="auto"/>
                <w:bottom w:val="none" w:sz="0" w:space="0" w:color="auto"/>
                <w:right w:val="none" w:sz="0" w:space="0" w:color="auto"/>
              </w:divBdr>
            </w:div>
          </w:divsChild>
        </w:div>
        <w:div w:id="1158035504">
          <w:marLeft w:val="0"/>
          <w:marRight w:val="0"/>
          <w:marTop w:val="0"/>
          <w:marBottom w:val="0"/>
          <w:divBdr>
            <w:top w:val="none" w:sz="0" w:space="0" w:color="auto"/>
            <w:left w:val="none" w:sz="0" w:space="0" w:color="auto"/>
            <w:bottom w:val="none" w:sz="0" w:space="0" w:color="auto"/>
            <w:right w:val="none" w:sz="0" w:space="0" w:color="auto"/>
          </w:divBdr>
          <w:divsChild>
            <w:div w:id="202258965">
              <w:marLeft w:val="0"/>
              <w:marRight w:val="0"/>
              <w:marTop w:val="0"/>
              <w:marBottom w:val="0"/>
              <w:divBdr>
                <w:top w:val="none" w:sz="0" w:space="0" w:color="auto"/>
                <w:left w:val="none" w:sz="0" w:space="0" w:color="auto"/>
                <w:bottom w:val="none" w:sz="0" w:space="0" w:color="auto"/>
                <w:right w:val="none" w:sz="0" w:space="0" w:color="auto"/>
              </w:divBdr>
            </w:div>
          </w:divsChild>
        </w:div>
        <w:div w:id="1523326024">
          <w:marLeft w:val="0"/>
          <w:marRight w:val="0"/>
          <w:marTop w:val="0"/>
          <w:marBottom w:val="0"/>
          <w:divBdr>
            <w:top w:val="none" w:sz="0" w:space="0" w:color="auto"/>
            <w:left w:val="none" w:sz="0" w:space="0" w:color="auto"/>
            <w:bottom w:val="none" w:sz="0" w:space="0" w:color="auto"/>
            <w:right w:val="none" w:sz="0" w:space="0" w:color="auto"/>
          </w:divBdr>
          <w:divsChild>
            <w:div w:id="682786013">
              <w:marLeft w:val="0"/>
              <w:marRight w:val="0"/>
              <w:marTop w:val="0"/>
              <w:marBottom w:val="0"/>
              <w:divBdr>
                <w:top w:val="none" w:sz="0" w:space="0" w:color="auto"/>
                <w:left w:val="none" w:sz="0" w:space="0" w:color="auto"/>
                <w:bottom w:val="none" w:sz="0" w:space="0" w:color="auto"/>
                <w:right w:val="none" w:sz="0" w:space="0" w:color="auto"/>
              </w:divBdr>
            </w:div>
          </w:divsChild>
        </w:div>
        <w:div w:id="107354861">
          <w:marLeft w:val="0"/>
          <w:marRight w:val="0"/>
          <w:marTop w:val="0"/>
          <w:marBottom w:val="0"/>
          <w:divBdr>
            <w:top w:val="none" w:sz="0" w:space="0" w:color="auto"/>
            <w:left w:val="none" w:sz="0" w:space="0" w:color="auto"/>
            <w:bottom w:val="none" w:sz="0" w:space="0" w:color="auto"/>
            <w:right w:val="none" w:sz="0" w:space="0" w:color="auto"/>
          </w:divBdr>
          <w:divsChild>
            <w:div w:id="205220064">
              <w:marLeft w:val="0"/>
              <w:marRight w:val="0"/>
              <w:marTop w:val="0"/>
              <w:marBottom w:val="0"/>
              <w:divBdr>
                <w:top w:val="none" w:sz="0" w:space="0" w:color="auto"/>
                <w:left w:val="none" w:sz="0" w:space="0" w:color="auto"/>
                <w:bottom w:val="none" w:sz="0" w:space="0" w:color="auto"/>
                <w:right w:val="none" w:sz="0" w:space="0" w:color="auto"/>
              </w:divBdr>
            </w:div>
          </w:divsChild>
        </w:div>
        <w:div w:id="1133015061">
          <w:marLeft w:val="0"/>
          <w:marRight w:val="0"/>
          <w:marTop w:val="0"/>
          <w:marBottom w:val="0"/>
          <w:divBdr>
            <w:top w:val="none" w:sz="0" w:space="0" w:color="auto"/>
            <w:left w:val="none" w:sz="0" w:space="0" w:color="auto"/>
            <w:bottom w:val="none" w:sz="0" w:space="0" w:color="auto"/>
            <w:right w:val="none" w:sz="0" w:space="0" w:color="auto"/>
          </w:divBdr>
          <w:divsChild>
            <w:div w:id="150370981">
              <w:marLeft w:val="0"/>
              <w:marRight w:val="0"/>
              <w:marTop w:val="0"/>
              <w:marBottom w:val="0"/>
              <w:divBdr>
                <w:top w:val="none" w:sz="0" w:space="0" w:color="auto"/>
                <w:left w:val="none" w:sz="0" w:space="0" w:color="auto"/>
                <w:bottom w:val="none" w:sz="0" w:space="0" w:color="auto"/>
                <w:right w:val="none" w:sz="0" w:space="0" w:color="auto"/>
              </w:divBdr>
            </w:div>
          </w:divsChild>
        </w:div>
        <w:div w:id="278881742">
          <w:marLeft w:val="0"/>
          <w:marRight w:val="0"/>
          <w:marTop w:val="0"/>
          <w:marBottom w:val="0"/>
          <w:divBdr>
            <w:top w:val="none" w:sz="0" w:space="0" w:color="auto"/>
            <w:left w:val="none" w:sz="0" w:space="0" w:color="auto"/>
            <w:bottom w:val="none" w:sz="0" w:space="0" w:color="auto"/>
            <w:right w:val="none" w:sz="0" w:space="0" w:color="auto"/>
          </w:divBdr>
          <w:divsChild>
            <w:div w:id="115032522">
              <w:marLeft w:val="0"/>
              <w:marRight w:val="0"/>
              <w:marTop w:val="0"/>
              <w:marBottom w:val="0"/>
              <w:divBdr>
                <w:top w:val="none" w:sz="0" w:space="0" w:color="auto"/>
                <w:left w:val="none" w:sz="0" w:space="0" w:color="auto"/>
                <w:bottom w:val="none" w:sz="0" w:space="0" w:color="auto"/>
                <w:right w:val="none" w:sz="0" w:space="0" w:color="auto"/>
              </w:divBdr>
            </w:div>
          </w:divsChild>
        </w:div>
        <w:div w:id="438108675">
          <w:marLeft w:val="0"/>
          <w:marRight w:val="0"/>
          <w:marTop w:val="0"/>
          <w:marBottom w:val="0"/>
          <w:divBdr>
            <w:top w:val="none" w:sz="0" w:space="0" w:color="auto"/>
            <w:left w:val="none" w:sz="0" w:space="0" w:color="auto"/>
            <w:bottom w:val="none" w:sz="0" w:space="0" w:color="auto"/>
            <w:right w:val="none" w:sz="0" w:space="0" w:color="auto"/>
          </w:divBdr>
          <w:divsChild>
            <w:div w:id="973409135">
              <w:marLeft w:val="0"/>
              <w:marRight w:val="0"/>
              <w:marTop w:val="0"/>
              <w:marBottom w:val="0"/>
              <w:divBdr>
                <w:top w:val="none" w:sz="0" w:space="0" w:color="auto"/>
                <w:left w:val="none" w:sz="0" w:space="0" w:color="auto"/>
                <w:bottom w:val="none" w:sz="0" w:space="0" w:color="auto"/>
                <w:right w:val="none" w:sz="0" w:space="0" w:color="auto"/>
              </w:divBdr>
            </w:div>
          </w:divsChild>
        </w:div>
        <w:div w:id="441416805">
          <w:marLeft w:val="0"/>
          <w:marRight w:val="0"/>
          <w:marTop w:val="0"/>
          <w:marBottom w:val="0"/>
          <w:divBdr>
            <w:top w:val="none" w:sz="0" w:space="0" w:color="auto"/>
            <w:left w:val="none" w:sz="0" w:space="0" w:color="auto"/>
            <w:bottom w:val="none" w:sz="0" w:space="0" w:color="auto"/>
            <w:right w:val="none" w:sz="0" w:space="0" w:color="auto"/>
          </w:divBdr>
          <w:divsChild>
            <w:div w:id="672226998">
              <w:marLeft w:val="0"/>
              <w:marRight w:val="0"/>
              <w:marTop w:val="0"/>
              <w:marBottom w:val="0"/>
              <w:divBdr>
                <w:top w:val="none" w:sz="0" w:space="0" w:color="auto"/>
                <w:left w:val="none" w:sz="0" w:space="0" w:color="auto"/>
                <w:bottom w:val="none" w:sz="0" w:space="0" w:color="auto"/>
                <w:right w:val="none" w:sz="0" w:space="0" w:color="auto"/>
              </w:divBdr>
            </w:div>
          </w:divsChild>
        </w:div>
        <w:div w:id="277685102">
          <w:marLeft w:val="0"/>
          <w:marRight w:val="0"/>
          <w:marTop w:val="0"/>
          <w:marBottom w:val="0"/>
          <w:divBdr>
            <w:top w:val="none" w:sz="0" w:space="0" w:color="auto"/>
            <w:left w:val="none" w:sz="0" w:space="0" w:color="auto"/>
            <w:bottom w:val="none" w:sz="0" w:space="0" w:color="auto"/>
            <w:right w:val="none" w:sz="0" w:space="0" w:color="auto"/>
          </w:divBdr>
          <w:divsChild>
            <w:div w:id="1479766625">
              <w:marLeft w:val="0"/>
              <w:marRight w:val="0"/>
              <w:marTop w:val="0"/>
              <w:marBottom w:val="0"/>
              <w:divBdr>
                <w:top w:val="none" w:sz="0" w:space="0" w:color="auto"/>
                <w:left w:val="none" w:sz="0" w:space="0" w:color="auto"/>
                <w:bottom w:val="none" w:sz="0" w:space="0" w:color="auto"/>
                <w:right w:val="none" w:sz="0" w:space="0" w:color="auto"/>
              </w:divBdr>
            </w:div>
          </w:divsChild>
        </w:div>
        <w:div w:id="1124075655">
          <w:marLeft w:val="0"/>
          <w:marRight w:val="0"/>
          <w:marTop w:val="0"/>
          <w:marBottom w:val="0"/>
          <w:divBdr>
            <w:top w:val="none" w:sz="0" w:space="0" w:color="auto"/>
            <w:left w:val="none" w:sz="0" w:space="0" w:color="auto"/>
            <w:bottom w:val="none" w:sz="0" w:space="0" w:color="auto"/>
            <w:right w:val="none" w:sz="0" w:space="0" w:color="auto"/>
          </w:divBdr>
          <w:divsChild>
            <w:div w:id="887496344">
              <w:marLeft w:val="0"/>
              <w:marRight w:val="0"/>
              <w:marTop w:val="0"/>
              <w:marBottom w:val="0"/>
              <w:divBdr>
                <w:top w:val="none" w:sz="0" w:space="0" w:color="auto"/>
                <w:left w:val="none" w:sz="0" w:space="0" w:color="auto"/>
                <w:bottom w:val="none" w:sz="0" w:space="0" w:color="auto"/>
                <w:right w:val="none" w:sz="0" w:space="0" w:color="auto"/>
              </w:divBdr>
            </w:div>
          </w:divsChild>
        </w:div>
        <w:div w:id="1116291540">
          <w:marLeft w:val="0"/>
          <w:marRight w:val="0"/>
          <w:marTop w:val="0"/>
          <w:marBottom w:val="0"/>
          <w:divBdr>
            <w:top w:val="none" w:sz="0" w:space="0" w:color="auto"/>
            <w:left w:val="none" w:sz="0" w:space="0" w:color="auto"/>
            <w:bottom w:val="none" w:sz="0" w:space="0" w:color="auto"/>
            <w:right w:val="none" w:sz="0" w:space="0" w:color="auto"/>
          </w:divBdr>
          <w:divsChild>
            <w:div w:id="619802080">
              <w:marLeft w:val="0"/>
              <w:marRight w:val="0"/>
              <w:marTop w:val="0"/>
              <w:marBottom w:val="0"/>
              <w:divBdr>
                <w:top w:val="none" w:sz="0" w:space="0" w:color="auto"/>
                <w:left w:val="none" w:sz="0" w:space="0" w:color="auto"/>
                <w:bottom w:val="none" w:sz="0" w:space="0" w:color="auto"/>
                <w:right w:val="none" w:sz="0" w:space="0" w:color="auto"/>
              </w:divBdr>
            </w:div>
          </w:divsChild>
        </w:div>
        <w:div w:id="1052269025">
          <w:marLeft w:val="0"/>
          <w:marRight w:val="0"/>
          <w:marTop w:val="0"/>
          <w:marBottom w:val="0"/>
          <w:divBdr>
            <w:top w:val="none" w:sz="0" w:space="0" w:color="auto"/>
            <w:left w:val="none" w:sz="0" w:space="0" w:color="auto"/>
            <w:bottom w:val="none" w:sz="0" w:space="0" w:color="auto"/>
            <w:right w:val="none" w:sz="0" w:space="0" w:color="auto"/>
          </w:divBdr>
          <w:divsChild>
            <w:div w:id="2136440459">
              <w:marLeft w:val="0"/>
              <w:marRight w:val="0"/>
              <w:marTop w:val="0"/>
              <w:marBottom w:val="0"/>
              <w:divBdr>
                <w:top w:val="none" w:sz="0" w:space="0" w:color="auto"/>
                <w:left w:val="none" w:sz="0" w:space="0" w:color="auto"/>
                <w:bottom w:val="none" w:sz="0" w:space="0" w:color="auto"/>
                <w:right w:val="none" w:sz="0" w:space="0" w:color="auto"/>
              </w:divBdr>
            </w:div>
          </w:divsChild>
        </w:div>
        <w:div w:id="1600602813">
          <w:marLeft w:val="0"/>
          <w:marRight w:val="0"/>
          <w:marTop w:val="0"/>
          <w:marBottom w:val="0"/>
          <w:divBdr>
            <w:top w:val="none" w:sz="0" w:space="0" w:color="auto"/>
            <w:left w:val="none" w:sz="0" w:space="0" w:color="auto"/>
            <w:bottom w:val="none" w:sz="0" w:space="0" w:color="auto"/>
            <w:right w:val="none" w:sz="0" w:space="0" w:color="auto"/>
          </w:divBdr>
          <w:divsChild>
            <w:div w:id="1000351332">
              <w:marLeft w:val="0"/>
              <w:marRight w:val="0"/>
              <w:marTop w:val="0"/>
              <w:marBottom w:val="0"/>
              <w:divBdr>
                <w:top w:val="none" w:sz="0" w:space="0" w:color="auto"/>
                <w:left w:val="none" w:sz="0" w:space="0" w:color="auto"/>
                <w:bottom w:val="none" w:sz="0" w:space="0" w:color="auto"/>
                <w:right w:val="none" w:sz="0" w:space="0" w:color="auto"/>
              </w:divBdr>
            </w:div>
          </w:divsChild>
        </w:div>
        <w:div w:id="980035942">
          <w:marLeft w:val="0"/>
          <w:marRight w:val="0"/>
          <w:marTop w:val="0"/>
          <w:marBottom w:val="0"/>
          <w:divBdr>
            <w:top w:val="none" w:sz="0" w:space="0" w:color="auto"/>
            <w:left w:val="none" w:sz="0" w:space="0" w:color="auto"/>
            <w:bottom w:val="none" w:sz="0" w:space="0" w:color="auto"/>
            <w:right w:val="none" w:sz="0" w:space="0" w:color="auto"/>
          </w:divBdr>
          <w:divsChild>
            <w:div w:id="1813327186">
              <w:marLeft w:val="0"/>
              <w:marRight w:val="0"/>
              <w:marTop w:val="0"/>
              <w:marBottom w:val="0"/>
              <w:divBdr>
                <w:top w:val="none" w:sz="0" w:space="0" w:color="auto"/>
                <w:left w:val="none" w:sz="0" w:space="0" w:color="auto"/>
                <w:bottom w:val="none" w:sz="0" w:space="0" w:color="auto"/>
                <w:right w:val="none" w:sz="0" w:space="0" w:color="auto"/>
              </w:divBdr>
            </w:div>
          </w:divsChild>
        </w:div>
        <w:div w:id="799348338">
          <w:marLeft w:val="0"/>
          <w:marRight w:val="0"/>
          <w:marTop w:val="0"/>
          <w:marBottom w:val="0"/>
          <w:divBdr>
            <w:top w:val="none" w:sz="0" w:space="0" w:color="auto"/>
            <w:left w:val="none" w:sz="0" w:space="0" w:color="auto"/>
            <w:bottom w:val="none" w:sz="0" w:space="0" w:color="auto"/>
            <w:right w:val="none" w:sz="0" w:space="0" w:color="auto"/>
          </w:divBdr>
          <w:divsChild>
            <w:div w:id="1000082614">
              <w:marLeft w:val="0"/>
              <w:marRight w:val="0"/>
              <w:marTop w:val="0"/>
              <w:marBottom w:val="0"/>
              <w:divBdr>
                <w:top w:val="none" w:sz="0" w:space="0" w:color="auto"/>
                <w:left w:val="none" w:sz="0" w:space="0" w:color="auto"/>
                <w:bottom w:val="none" w:sz="0" w:space="0" w:color="auto"/>
                <w:right w:val="none" w:sz="0" w:space="0" w:color="auto"/>
              </w:divBdr>
            </w:div>
          </w:divsChild>
        </w:div>
        <w:div w:id="1605728020">
          <w:marLeft w:val="0"/>
          <w:marRight w:val="0"/>
          <w:marTop w:val="0"/>
          <w:marBottom w:val="0"/>
          <w:divBdr>
            <w:top w:val="none" w:sz="0" w:space="0" w:color="auto"/>
            <w:left w:val="none" w:sz="0" w:space="0" w:color="auto"/>
            <w:bottom w:val="none" w:sz="0" w:space="0" w:color="auto"/>
            <w:right w:val="none" w:sz="0" w:space="0" w:color="auto"/>
          </w:divBdr>
          <w:divsChild>
            <w:div w:id="727190097">
              <w:marLeft w:val="0"/>
              <w:marRight w:val="0"/>
              <w:marTop w:val="0"/>
              <w:marBottom w:val="0"/>
              <w:divBdr>
                <w:top w:val="none" w:sz="0" w:space="0" w:color="auto"/>
                <w:left w:val="none" w:sz="0" w:space="0" w:color="auto"/>
                <w:bottom w:val="none" w:sz="0" w:space="0" w:color="auto"/>
                <w:right w:val="none" w:sz="0" w:space="0" w:color="auto"/>
              </w:divBdr>
            </w:div>
          </w:divsChild>
        </w:div>
        <w:div w:id="81993994">
          <w:marLeft w:val="0"/>
          <w:marRight w:val="0"/>
          <w:marTop w:val="0"/>
          <w:marBottom w:val="0"/>
          <w:divBdr>
            <w:top w:val="none" w:sz="0" w:space="0" w:color="auto"/>
            <w:left w:val="none" w:sz="0" w:space="0" w:color="auto"/>
            <w:bottom w:val="none" w:sz="0" w:space="0" w:color="auto"/>
            <w:right w:val="none" w:sz="0" w:space="0" w:color="auto"/>
          </w:divBdr>
          <w:divsChild>
            <w:div w:id="1789855214">
              <w:marLeft w:val="0"/>
              <w:marRight w:val="0"/>
              <w:marTop w:val="0"/>
              <w:marBottom w:val="0"/>
              <w:divBdr>
                <w:top w:val="none" w:sz="0" w:space="0" w:color="auto"/>
                <w:left w:val="none" w:sz="0" w:space="0" w:color="auto"/>
                <w:bottom w:val="none" w:sz="0" w:space="0" w:color="auto"/>
                <w:right w:val="none" w:sz="0" w:space="0" w:color="auto"/>
              </w:divBdr>
            </w:div>
          </w:divsChild>
        </w:div>
        <w:div w:id="1992711385">
          <w:marLeft w:val="0"/>
          <w:marRight w:val="0"/>
          <w:marTop w:val="0"/>
          <w:marBottom w:val="0"/>
          <w:divBdr>
            <w:top w:val="none" w:sz="0" w:space="0" w:color="auto"/>
            <w:left w:val="none" w:sz="0" w:space="0" w:color="auto"/>
            <w:bottom w:val="none" w:sz="0" w:space="0" w:color="auto"/>
            <w:right w:val="none" w:sz="0" w:space="0" w:color="auto"/>
          </w:divBdr>
          <w:divsChild>
            <w:div w:id="442576165">
              <w:marLeft w:val="0"/>
              <w:marRight w:val="0"/>
              <w:marTop w:val="0"/>
              <w:marBottom w:val="0"/>
              <w:divBdr>
                <w:top w:val="none" w:sz="0" w:space="0" w:color="auto"/>
                <w:left w:val="none" w:sz="0" w:space="0" w:color="auto"/>
                <w:bottom w:val="none" w:sz="0" w:space="0" w:color="auto"/>
                <w:right w:val="none" w:sz="0" w:space="0" w:color="auto"/>
              </w:divBdr>
            </w:div>
          </w:divsChild>
        </w:div>
        <w:div w:id="2137526165">
          <w:marLeft w:val="0"/>
          <w:marRight w:val="0"/>
          <w:marTop w:val="0"/>
          <w:marBottom w:val="0"/>
          <w:divBdr>
            <w:top w:val="none" w:sz="0" w:space="0" w:color="auto"/>
            <w:left w:val="none" w:sz="0" w:space="0" w:color="auto"/>
            <w:bottom w:val="none" w:sz="0" w:space="0" w:color="auto"/>
            <w:right w:val="none" w:sz="0" w:space="0" w:color="auto"/>
          </w:divBdr>
          <w:divsChild>
            <w:div w:id="454103758">
              <w:marLeft w:val="0"/>
              <w:marRight w:val="0"/>
              <w:marTop w:val="0"/>
              <w:marBottom w:val="0"/>
              <w:divBdr>
                <w:top w:val="none" w:sz="0" w:space="0" w:color="auto"/>
                <w:left w:val="none" w:sz="0" w:space="0" w:color="auto"/>
                <w:bottom w:val="none" w:sz="0" w:space="0" w:color="auto"/>
                <w:right w:val="none" w:sz="0" w:space="0" w:color="auto"/>
              </w:divBdr>
            </w:div>
          </w:divsChild>
        </w:div>
        <w:div w:id="974674105">
          <w:marLeft w:val="0"/>
          <w:marRight w:val="0"/>
          <w:marTop w:val="0"/>
          <w:marBottom w:val="0"/>
          <w:divBdr>
            <w:top w:val="none" w:sz="0" w:space="0" w:color="auto"/>
            <w:left w:val="none" w:sz="0" w:space="0" w:color="auto"/>
            <w:bottom w:val="none" w:sz="0" w:space="0" w:color="auto"/>
            <w:right w:val="none" w:sz="0" w:space="0" w:color="auto"/>
          </w:divBdr>
          <w:divsChild>
            <w:div w:id="1577201262">
              <w:marLeft w:val="0"/>
              <w:marRight w:val="0"/>
              <w:marTop w:val="0"/>
              <w:marBottom w:val="0"/>
              <w:divBdr>
                <w:top w:val="none" w:sz="0" w:space="0" w:color="auto"/>
                <w:left w:val="none" w:sz="0" w:space="0" w:color="auto"/>
                <w:bottom w:val="none" w:sz="0" w:space="0" w:color="auto"/>
                <w:right w:val="none" w:sz="0" w:space="0" w:color="auto"/>
              </w:divBdr>
            </w:div>
          </w:divsChild>
        </w:div>
        <w:div w:id="630282539">
          <w:marLeft w:val="0"/>
          <w:marRight w:val="0"/>
          <w:marTop w:val="0"/>
          <w:marBottom w:val="0"/>
          <w:divBdr>
            <w:top w:val="none" w:sz="0" w:space="0" w:color="auto"/>
            <w:left w:val="none" w:sz="0" w:space="0" w:color="auto"/>
            <w:bottom w:val="none" w:sz="0" w:space="0" w:color="auto"/>
            <w:right w:val="none" w:sz="0" w:space="0" w:color="auto"/>
          </w:divBdr>
          <w:divsChild>
            <w:div w:id="1604611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869175592">
      <w:bodyDiv w:val="1"/>
      <w:marLeft w:val="0"/>
      <w:marRight w:val="0"/>
      <w:marTop w:val="0"/>
      <w:marBottom w:val="0"/>
      <w:divBdr>
        <w:top w:val="none" w:sz="0" w:space="0" w:color="auto"/>
        <w:left w:val="none" w:sz="0" w:space="0" w:color="auto"/>
        <w:bottom w:val="none" w:sz="0" w:space="0" w:color="auto"/>
        <w:right w:val="none" w:sz="0" w:space="0" w:color="auto"/>
      </w:divBdr>
      <w:divsChild>
        <w:div w:id="1054474809">
          <w:marLeft w:val="0"/>
          <w:marRight w:val="0"/>
          <w:marTop w:val="0"/>
          <w:marBottom w:val="0"/>
          <w:divBdr>
            <w:top w:val="none" w:sz="0" w:space="0" w:color="auto"/>
            <w:left w:val="none" w:sz="0" w:space="0" w:color="auto"/>
            <w:bottom w:val="none" w:sz="0" w:space="0" w:color="auto"/>
            <w:right w:val="none" w:sz="0" w:space="0" w:color="auto"/>
          </w:divBdr>
          <w:divsChild>
            <w:div w:id="297076875">
              <w:marLeft w:val="0"/>
              <w:marRight w:val="0"/>
              <w:marTop w:val="0"/>
              <w:marBottom w:val="0"/>
              <w:divBdr>
                <w:top w:val="none" w:sz="0" w:space="0" w:color="auto"/>
                <w:left w:val="none" w:sz="0" w:space="0" w:color="auto"/>
                <w:bottom w:val="none" w:sz="0" w:space="0" w:color="auto"/>
                <w:right w:val="none" w:sz="0" w:space="0" w:color="auto"/>
              </w:divBdr>
            </w:div>
          </w:divsChild>
        </w:div>
        <w:div w:id="906261321">
          <w:marLeft w:val="0"/>
          <w:marRight w:val="0"/>
          <w:marTop w:val="0"/>
          <w:marBottom w:val="0"/>
          <w:divBdr>
            <w:top w:val="none" w:sz="0" w:space="0" w:color="auto"/>
            <w:left w:val="none" w:sz="0" w:space="0" w:color="auto"/>
            <w:bottom w:val="none" w:sz="0" w:space="0" w:color="auto"/>
            <w:right w:val="none" w:sz="0" w:space="0" w:color="auto"/>
          </w:divBdr>
          <w:divsChild>
            <w:div w:id="1478956902">
              <w:marLeft w:val="0"/>
              <w:marRight w:val="0"/>
              <w:marTop w:val="0"/>
              <w:marBottom w:val="0"/>
              <w:divBdr>
                <w:top w:val="none" w:sz="0" w:space="0" w:color="auto"/>
                <w:left w:val="none" w:sz="0" w:space="0" w:color="auto"/>
                <w:bottom w:val="none" w:sz="0" w:space="0" w:color="auto"/>
                <w:right w:val="none" w:sz="0" w:space="0" w:color="auto"/>
              </w:divBdr>
            </w:div>
          </w:divsChild>
        </w:div>
        <w:div w:id="306935451">
          <w:marLeft w:val="0"/>
          <w:marRight w:val="0"/>
          <w:marTop w:val="0"/>
          <w:marBottom w:val="0"/>
          <w:divBdr>
            <w:top w:val="none" w:sz="0" w:space="0" w:color="auto"/>
            <w:left w:val="none" w:sz="0" w:space="0" w:color="auto"/>
            <w:bottom w:val="none" w:sz="0" w:space="0" w:color="auto"/>
            <w:right w:val="none" w:sz="0" w:space="0" w:color="auto"/>
          </w:divBdr>
          <w:divsChild>
            <w:div w:id="1725719796">
              <w:marLeft w:val="0"/>
              <w:marRight w:val="0"/>
              <w:marTop w:val="0"/>
              <w:marBottom w:val="0"/>
              <w:divBdr>
                <w:top w:val="none" w:sz="0" w:space="0" w:color="auto"/>
                <w:left w:val="none" w:sz="0" w:space="0" w:color="auto"/>
                <w:bottom w:val="none" w:sz="0" w:space="0" w:color="auto"/>
                <w:right w:val="none" w:sz="0" w:space="0" w:color="auto"/>
              </w:divBdr>
            </w:div>
          </w:divsChild>
        </w:div>
        <w:div w:id="673142405">
          <w:marLeft w:val="0"/>
          <w:marRight w:val="0"/>
          <w:marTop w:val="0"/>
          <w:marBottom w:val="0"/>
          <w:divBdr>
            <w:top w:val="none" w:sz="0" w:space="0" w:color="auto"/>
            <w:left w:val="none" w:sz="0" w:space="0" w:color="auto"/>
            <w:bottom w:val="none" w:sz="0" w:space="0" w:color="auto"/>
            <w:right w:val="none" w:sz="0" w:space="0" w:color="auto"/>
          </w:divBdr>
          <w:divsChild>
            <w:div w:id="1109013512">
              <w:marLeft w:val="0"/>
              <w:marRight w:val="0"/>
              <w:marTop w:val="0"/>
              <w:marBottom w:val="0"/>
              <w:divBdr>
                <w:top w:val="none" w:sz="0" w:space="0" w:color="auto"/>
                <w:left w:val="none" w:sz="0" w:space="0" w:color="auto"/>
                <w:bottom w:val="none" w:sz="0" w:space="0" w:color="auto"/>
                <w:right w:val="none" w:sz="0" w:space="0" w:color="auto"/>
              </w:divBdr>
            </w:div>
          </w:divsChild>
        </w:div>
        <w:div w:id="95179897">
          <w:marLeft w:val="0"/>
          <w:marRight w:val="0"/>
          <w:marTop w:val="0"/>
          <w:marBottom w:val="0"/>
          <w:divBdr>
            <w:top w:val="none" w:sz="0" w:space="0" w:color="auto"/>
            <w:left w:val="none" w:sz="0" w:space="0" w:color="auto"/>
            <w:bottom w:val="none" w:sz="0" w:space="0" w:color="auto"/>
            <w:right w:val="none" w:sz="0" w:space="0" w:color="auto"/>
          </w:divBdr>
          <w:divsChild>
            <w:div w:id="1296986247">
              <w:marLeft w:val="0"/>
              <w:marRight w:val="0"/>
              <w:marTop w:val="0"/>
              <w:marBottom w:val="0"/>
              <w:divBdr>
                <w:top w:val="none" w:sz="0" w:space="0" w:color="auto"/>
                <w:left w:val="none" w:sz="0" w:space="0" w:color="auto"/>
                <w:bottom w:val="none" w:sz="0" w:space="0" w:color="auto"/>
                <w:right w:val="none" w:sz="0" w:space="0" w:color="auto"/>
              </w:divBdr>
            </w:div>
          </w:divsChild>
        </w:div>
        <w:div w:id="457838422">
          <w:marLeft w:val="0"/>
          <w:marRight w:val="0"/>
          <w:marTop w:val="0"/>
          <w:marBottom w:val="0"/>
          <w:divBdr>
            <w:top w:val="none" w:sz="0" w:space="0" w:color="auto"/>
            <w:left w:val="none" w:sz="0" w:space="0" w:color="auto"/>
            <w:bottom w:val="none" w:sz="0" w:space="0" w:color="auto"/>
            <w:right w:val="none" w:sz="0" w:space="0" w:color="auto"/>
          </w:divBdr>
          <w:divsChild>
            <w:div w:id="1167213850">
              <w:marLeft w:val="0"/>
              <w:marRight w:val="0"/>
              <w:marTop w:val="0"/>
              <w:marBottom w:val="0"/>
              <w:divBdr>
                <w:top w:val="none" w:sz="0" w:space="0" w:color="auto"/>
                <w:left w:val="none" w:sz="0" w:space="0" w:color="auto"/>
                <w:bottom w:val="none" w:sz="0" w:space="0" w:color="auto"/>
                <w:right w:val="none" w:sz="0" w:space="0" w:color="auto"/>
              </w:divBdr>
            </w:div>
          </w:divsChild>
        </w:div>
        <w:div w:id="984746650">
          <w:marLeft w:val="0"/>
          <w:marRight w:val="0"/>
          <w:marTop w:val="0"/>
          <w:marBottom w:val="0"/>
          <w:divBdr>
            <w:top w:val="none" w:sz="0" w:space="0" w:color="auto"/>
            <w:left w:val="none" w:sz="0" w:space="0" w:color="auto"/>
            <w:bottom w:val="none" w:sz="0" w:space="0" w:color="auto"/>
            <w:right w:val="none" w:sz="0" w:space="0" w:color="auto"/>
          </w:divBdr>
          <w:divsChild>
            <w:div w:id="1752462783">
              <w:marLeft w:val="0"/>
              <w:marRight w:val="0"/>
              <w:marTop w:val="0"/>
              <w:marBottom w:val="0"/>
              <w:divBdr>
                <w:top w:val="none" w:sz="0" w:space="0" w:color="auto"/>
                <w:left w:val="none" w:sz="0" w:space="0" w:color="auto"/>
                <w:bottom w:val="none" w:sz="0" w:space="0" w:color="auto"/>
                <w:right w:val="none" w:sz="0" w:space="0" w:color="auto"/>
              </w:divBdr>
            </w:div>
          </w:divsChild>
        </w:div>
        <w:div w:id="611942286">
          <w:marLeft w:val="0"/>
          <w:marRight w:val="0"/>
          <w:marTop w:val="0"/>
          <w:marBottom w:val="0"/>
          <w:divBdr>
            <w:top w:val="none" w:sz="0" w:space="0" w:color="auto"/>
            <w:left w:val="none" w:sz="0" w:space="0" w:color="auto"/>
            <w:bottom w:val="none" w:sz="0" w:space="0" w:color="auto"/>
            <w:right w:val="none" w:sz="0" w:space="0" w:color="auto"/>
          </w:divBdr>
          <w:divsChild>
            <w:div w:id="1183545954">
              <w:marLeft w:val="0"/>
              <w:marRight w:val="0"/>
              <w:marTop w:val="0"/>
              <w:marBottom w:val="0"/>
              <w:divBdr>
                <w:top w:val="none" w:sz="0" w:space="0" w:color="auto"/>
                <w:left w:val="none" w:sz="0" w:space="0" w:color="auto"/>
                <w:bottom w:val="none" w:sz="0" w:space="0" w:color="auto"/>
                <w:right w:val="none" w:sz="0" w:space="0" w:color="auto"/>
              </w:divBdr>
            </w:div>
          </w:divsChild>
        </w:div>
        <w:div w:id="1656033301">
          <w:marLeft w:val="0"/>
          <w:marRight w:val="0"/>
          <w:marTop w:val="0"/>
          <w:marBottom w:val="0"/>
          <w:divBdr>
            <w:top w:val="none" w:sz="0" w:space="0" w:color="auto"/>
            <w:left w:val="none" w:sz="0" w:space="0" w:color="auto"/>
            <w:bottom w:val="none" w:sz="0" w:space="0" w:color="auto"/>
            <w:right w:val="none" w:sz="0" w:space="0" w:color="auto"/>
          </w:divBdr>
          <w:divsChild>
            <w:div w:id="706567267">
              <w:marLeft w:val="0"/>
              <w:marRight w:val="0"/>
              <w:marTop w:val="0"/>
              <w:marBottom w:val="0"/>
              <w:divBdr>
                <w:top w:val="none" w:sz="0" w:space="0" w:color="auto"/>
                <w:left w:val="none" w:sz="0" w:space="0" w:color="auto"/>
                <w:bottom w:val="none" w:sz="0" w:space="0" w:color="auto"/>
                <w:right w:val="none" w:sz="0" w:space="0" w:color="auto"/>
              </w:divBdr>
            </w:div>
          </w:divsChild>
        </w:div>
        <w:div w:id="182863843">
          <w:marLeft w:val="0"/>
          <w:marRight w:val="0"/>
          <w:marTop w:val="0"/>
          <w:marBottom w:val="0"/>
          <w:divBdr>
            <w:top w:val="none" w:sz="0" w:space="0" w:color="auto"/>
            <w:left w:val="none" w:sz="0" w:space="0" w:color="auto"/>
            <w:bottom w:val="none" w:sz="0" w:space="0" w:color="auto"/>
            <w:right w:val="none" w:sz="0" w:space="0" w:color="auto"/>
          </w:divBdr>
          <w:divsChild>
            <w:div w:id="1974091771">
              <w:marLeft w:val="0"/>
              <w:marRight w:val="0"/>
              <w:marTop w:val="0"/>
              <w:marBottom w:val="0"/>
              <w:divBdr>
                <w:top w:val="none" w:sz="0" w:space="0" w:color="auto"/>
                <w:left w:val="none" w:sz="0" w:space="0" w:color="auto"/>
                <w:bottom w:val="none" w:sz="0" w:space="0" w:color="auto"/>
                <w:right w:val="none" w:sz="0" w:space="0" w:color="auto"/>
              </w:divBdr>
            </w:div>
          </w:divsChild>
        </w:div>
        <w:div w:id="1745955229">
          <w:marLeft w:val="0"/>
          <w:marRight w:val="0"/>
          <w:marTop w:val="0"/>
          <w:marBottom w:val="0"/>
          <w:divBdr>
            <w:top w:val="none" w:sz="0" w:space="0" w:color="auto"/>
            <w:left w:val="none" w:sz="0" w:space="0" w:color="auto"/>
            <w:bottom w:val="none" w:sz="0" w:space="0" w:color="auto"/>
            <w:right w:val="none" w:sz="0" w:space="0" w:color="auto"/>
          </w:divBdr>
          <w:divsChild>
            <w:div w:id="2017226372">
              <w:marLeft w:val="0"/>
              <w:marRight w:val="0"/>
              <w:marTop w:val="0"/>
              <w:marBottom w:val="0"/>
              <w:divBdr>
                <w:top w:val="none" w:sz="0" w:space="0" w:color="auto"/>
                <w:left w:val="none" w:sz="0" w:space="0" w:color="auto"/>
                <w:bottom w:val="none" w:sz="0" w:space="0" w:color="auto"/>
                <w:right w:val="none" w:sz="0" w:space="0" w:color="auto"/>
              </w:divBdr>
            </w:div>
          </w:divsChild>
        </w:div>
        <w:div w:id="1002856113">
          <w:marLeft w:val="0"/>
          <w:marRight w:val="0"/>
          <w:marTop w:val="0"/>
          <w:marBottom w:val="0"/>
          <w:divBdr>
            <w:top w:val="none" w:sz="0" w:space="0" w:color="auto"/>
            <w:left w:val="none" w:sz="0" w:space="0" w:color="auto"/>
            <w:bottom w:val="none" w:sz="0" w:space="0" w:color="auto"/>
            <w:right w:val="none" w:sz="0" w:space="0" w:color="auto"/>
          </w:divBdr>
          <w:divsChild>
            <w:div w:id="1975674311">
              <w:marLeft w:val="0"/>
              <w:marRight w:val="0"/>
              <w:marTop w:val="0"/>
              <w:marBottom w:val="0"/>
              <w:divBdr>
                <w:top w:val="none" w:sz="0" w:space="0" w:color="auto"/>
                <w:left w:val="none" w:sz="0" w:space="0" w:color="auto"/>
                <w:bottom w:val="none" w:sz="0" w:space="0" w:color="auto"/>
                <w:right w:val="none" w:sz="0" w:space="0" w:color="auto"/>
              </w:divBdr>
            </w:div>
          </w:divsChild>
        </w:div>
        <w:div w:id="1521580417">
          <w:marLeft w:val="0"/>
          <w:marRight w:val="0"/>
          <w:marTop w:val="0"/>
          <w:marBottom w:val="0"/>
          <w:divBdr>
            <w:top w:val="none" w:sz="0" w:space="0" w:color="auto"/>
            <w:left w:val="none" w:sz="0" w:space="0" w:color="auto"/>
            <w:bottom w:val="none" w:sz="0" w:space="0" w:color="auto"/>
            <w:right w:val="none" w:sz="0" w:space="0" w:color="auto"/>
          </w:divBdr>
          <w:divsChild>
            <w:div w:id="1121457356">
              <w:marLeft w:val="0"/>
              <w:marRight w:val="0"/>
              <w:marTop w:val="0"/>
              <w:marBottom w:val="0"/>
              <w:divBdr>
                <w:top w:val="none" w:sz="0" w:space="0" w:color="auto"/>
                <w:left w:val="none" w:sz="0" w:space="0" w:color="auto"/>
                <w:bottom w:val="none" w:sz="0" w:space="0" w:color="auto"/>
                <w:right w:val="none" w:sz="0" w:space="0" w:color="auto"/>
              </w:divBdr>
            </w:div>
          </w:divsChild>
        </w:div>
        <w:div w:id="2123718580">
          <w:marLeft w:val="0"/>
          <w:marRight w:val="0"/>
          <w:marTop w:val="0"/>
          <w:marBottom w:val="0"/>
          <w:divBdr>
            <w:top w:val="none" w:sz="0" w:space="0" w:color="auto"/>
            <w:left w:val="none" w:sz="0" w:space="0" w:color="auto"/>
            <w:bottom w:val="none" w:sz="0" w:space="0" w:color="auto"/>
            <w:right w:val="none" w:sz="0" w:space="0" w:color="auto"/>
          </w:divBdr>
          <w:divsChild>
            <w:div w:id="1738941062">
              <w:marLeft w:val="0"/>
              <w:marRight w:val="0"/>
              <w:marTop w:val="0"/>
              <w:marBottom w:val="0"/>
              <w:divBdr>
                <w:top w:val="none" w:sz="0" w:space="0" w:color="auto"/>
                <w:left w:val="none" w:sz="0" w:space="0" w:color="auto"/>
                <w:bottom w:val="none" w:sz="0" w:space="0" w:color="auto"/>
                <w:right w:val="none" w:sz="0" w:space="0" w:color="auto"/>
              </w:divBdr>
            </w:div>
          </w:divsChild>
        </w:div>
        <w:div w:id="1817257995">
          <w:marLeft w:val="0"/>
          <w:marRight w:val="0"/>
          <w:marTop w:val="0"/>
          <w:marBottom w:val="0"/>
          <w:divBdr>
            <w:top w:val="none" w:sz="0" w:space="0" w:color="auto"/>
            <w:left w:val="none" w:sz="0" w:space="0" w:color="auto"/>
            <w:bottom w:val="none" w:sz="0" w:space="0" w:color="auto"/>
            <w:right w:val="none" w:sz="0" w:space="0" w:color="auto"/>
          </w:divBdr>
          <w:divsChild>
            <w:div w:id="274412634">
              <w:marLeft w:val="0"/>
              <w:marRight w:val="0"/>
              <w:marTop w:val="0"/>
              <w:marBottom w:val="0"/>
              <w:divBdr>
                <w:top w:val="none" w:sz="0" w:space="0" w:color="auto"/>
                <w:left w:val="none" w:sz="0" w:space="0" w:color="auto"/>
                <w:bottom w:val="none" w:sz="0" w:space="0" w:color="auto"/>
                <w:right w:val="none" w:sz="0" w:space="0" w:color="auto"/>
              </w:divBdr>
            </w:div>
          </w:divsChild>
        </w:div>
        <w:div w:id="2132818874">
          <w:marLeft w:val="0"/>
          <w:marRight w:val="0"/>
          <w:marTop w:val="0"/>
          <w:marBottom w:val="0"/>
          <w:divBdr>
            <w:top w:val="none" w:sz="0" w:space="0" w:color="auto"/>
            <w:left w:val="none" w:sz="0" w:space="0" w:color="auto"/>
            <w:bottom w:val="none" w:sz="0" w:space="0" w:color="auto"/>
            <w:right w:val="none" w:sz="0" w:space="0" w:color="auto"/>
          </w:divBdr>
          <w:divsChild>
            <w:div w:id="1060909890">
              <w:marLeft w:val="0"/>
              <w:marRight w:val="0"/>
              <w:marTop w:val="0"/>
              <w:marBottom w:val="0"/>
              <w:divBdr>
                <w:top w:val="none" w:sz="0" w:space="0" w:color="auto"/>
                <w:left w:val="none" w:sz="0" w:space="0" w:color="auto"/>
                <w:bottom w:val="none" w:sz="0" w:space="0" w:color="auto"/>
                <w:right w:val="none" w:sz="0" w:space="0" w:color="auto"/>
              </w:divBdr>
            </w:div>
          </w:divsChild>
        </w:div>
        <w:div w:id="1356689757">
          <w:marLeft w:val="0"/>
          <w:marRight w:val="0"/>
          <w:marTop w:val="0"/>
          <w:marBottom w:val="0"/>
          <w:divBdr>
            <w:top w:val="none" w:sz="0" w:space="0" w:color="auto"/>
            <w:left w:val="none" w:sz="0" w:space="0" w:color="auto"/>
            <w:bottom w:val="none" w:sz="0" w:space="0" w:color="auto"/>
            <w:right w:val="none" w:sz="0" w:space="0" w:color="auto"/>
          </w:divBdr>
          <w:divsChild>
            <w:div w:id="1736464199">
              <w:marLeft w:val="0"/>
              <w:marRight w:val="0"/>
              <w:marTop w:val="0"/>
              <w:marBottom w:val="0"/>
              <w:divBdr>
                <w:top w:val="none" w:sz="0" w:space="0" w:color="auto"/>
                <w:left w:val="none" w:sz="0" w:space="0" w:color="auto"/>
                <w:bottom w:val="none" w:sz="0" w:space="0" w:color="auto"/>
                <w:right w:val="none" w:sz="0" w:space="0" w:color="auto"/>
              </w:divBdr>
            </w:div>
          </w:divsChild>
        </w:div>
        <w:div w:id="332954475">
          <w:marLeft w:val="0"/>
          <w:marRight w:val="0"/>
          <w:marTop w:val="0"/>
          <w:marBottom w:val="0"/>
          <w:divBdr>
            <w:top w:val="none" w:sz="0" w:space="0" w:color="auto"/>
            <w:left w:val="none" w:sz="0" w:space="0" w:color="auto"/>
            <w:bottom w:val="none" w:sz="0" w:space="0" w:color="auto"/>
            <w:right w:val="none" w:sz="0" w:space="0" w:color="auto"/>
          </w:divBdr>
          <w:divsChild>
            <w:div w:id="480467594">
              <w:marLeft w:val="0"/>
              <w:marRight w:val="0"/>
              <w:marTop w:val="0"/>
              <w:marBottom w:val="0"/>
              <w:divBdr>
                <w:top w:val="none" w:sz="0" w:space="0" w:color="auto"/>
                <w:left w:val="none" w:sz="0" w:space="0" w:color="auto"/>
                <w:bottom w:val="none" w:sz="0" w:space="0" w:color="auto"/>
                <w:right w:val="none" w:sz="0" w:space="0" w:color="auto"/>
              </w:divBdr>
            </w:div>
          </w:divsChild>
        </w:div>
        <w:div w:id="101917937">
          <w:marLeft w:val="0"/>
          <w:marRight w:val="0"/>
          <w:marTop w:val="0"/>
          <w:marBottom w:val="0"/>
          <w:divBdr>
            <w:top w:val="none" w:sz="0" w:space="0" w:color="auto"/>
            <w:left w:val="none" w:sz="0" w:space="0" w:color="auto"/>
            <w:bottom w:val="none" w:sz="0" w:space="0" w:color="auto"/>
            <w:right w:val="none" w:sz="0" w:space="0" w:color="auto"/>
          </w:divBdr>
          <w:divsChild>
            <w:div w:id="1596593107">
              <w:marLeft w:val="0"/>
              <w:marRight w:val="0"/>
              <w:marTop w:val="0"/>
              <w:marBottom w:val="0"/>
              <w:divBdr>
                <w:top w:val="none" w:sz="0" w:space="0" w:color="auto"/>
                <w:left w:val="none" w:sz="0" w:space="0" w:color="auto"/>
                <w:bottom w:val="none" w:sz="0" w:space="0" w:color="auto"/>
                <w:right w:val="none" w:sz="0" w:space="0" w:color="auto"/>
              </w:divBdr>
            </w:div>
          </w:divsChild>
        </w:div>
        <w:div w:id="1714622740">
          <w:marLeft w:val="0"/>
          <w:marRight w:val="0"/>
          <w:marTop w:val="0"/>
          <w:marBottom w:val="0"/>
          <w:divBdr>
            <w:top w:val="none" w:sz="0" w:space="0" w:color="auto"/>
            <w:left w:val="none" w:sz="0" w:space="0" w:color="auto"/>
            <w:bottom w:val="none" w:sz="0" w:space="0" w:color="auto"/>
            <w:right w:val="none" w:sz="0" w:space="0" w:color="auto"/>
          </w:divBdr>
          <w:divsChild>
            <w:div w:id="1422490562">
              <w:marLeft w:val="0"/>
              <w:marRight w:val="0"/>
              <w:marTop w:val="0"/>
              <w:marBottom w:val="0"/>
              <w:divBdr>
                <w:top w:val="none" w:sz="0" w:space="0" w:color="auto"/>
                <w:left w:val="none" w:sz="0" w:space="0" w:color="auto"/>
                <w:bottom w:val="none" w:sz="0" w:space="0" w:color="auto"/>
                <w:right w:val="none" w:sz="0" w:space="0" w:color="auto"/>
              </w:divBdr>
            </w:div>
          </w:divsChild>
        </w:div>
        <w:div w:id="1493990058">
          <w:marLeft w:val="0"/>
          <w:marRight w:val="0"/>
          <w:marTop w:val="0"/>
          <w:marBottom w:val="0"/>
          <w:divBdr>
            <w:top w:val="none" w:sz="0" w:space="0" w:color="auto"/>
            <w:left w:val="none" w:sz="0" w:space="0" w:color="auto"/>
            <w:bottom w:val="none" w:sz="0" w:space="0" w:color="auto"/>
            <w:right w:val="none" w:sz="0" w:space="0" w:color="auto"/>
          </w:divBdr>
          <w:divsChild>
            <w:div w:id="641232903">
              <w:marLeft w:val="0"/>
              <w:marRight w:val="0"/>
              <w:marTop w:val="0"/>
              <w:marBottom w:val="0"/>
              <w:divBdr>
                <w:top w:val="none" w:sz="0" w:space="0" w:color="auto"/>
                <w:left w:val="none" w:sz="0" w:space="0" w:color="auto"/>
                <w:bottom w:val="none" w:sz="0" w:space="0" w:color="auto"/>
                <w:right w:val="none" w:sz="0" w:space="0" w:color="auto"/>
              </w:divBdr>
            </w:div>
          </w:divsChild>
        </w:div>
        <w:div w:id="203492502">
          <w:marLeft w:val="0"/>
          <w:marRight w:val="0"/>
          <w:marTop w:val="0"/>
          <w:marBottom w:val="0"/>
          <w:divBdr>
            <w:top w:val="none" w:sz="0" w:space="0" w:color="auto"/>
            <w:left w:val="none" w:sz="0" w:space="0" w:color="auto"/>
            <w:bottom w:val="none" w:sz="0" w:space="0" w:color="auto"/>
            <w:right w:val="none" w:sz="0" w:space="0" w:color="auto"/>
          </w:divBdr>
          <w:divsChild>
            <w:div w:id="179988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24351">
      <w:bodyDiv w:val="1"/>
      <w:marLeft w:val="0"/>
      <w:marRight w:val="0"/>
      <w:marTop w:val="0"/>
      <w:marBottom w:val="0"/>
      <w:divBdr>
        <w:top w:val="none" w:sz="0" w:space="0" w:color="auto"/>
        <w:left w:val="none" w:sz="0" w:space="0" w:color="auto"/>
        <w:bottom w:val="none" w:sz="0" w:space="0" w:color="auto"/>
        <w:right w:val="none" w:sz="0" w:space="0" w:color="auto"/>
      </w:divBdr>
      <w:divsChild>
        <w:div w:id="1356492475">
          <w:marLeft w:val="0"/>
          <w:marRight w:val="0"/>
          <w:marTop w:val="0"/>
          <w:marBottom w:val="0"/>
          <w:divBdr>
            <w:top w:val="none" w:sz="0" w:space="0" w:color="auto"/>
            <w:left w:val="none" w:sz="0" w:space="0" w:color="auto"/>
            <w:bottom w:val="none" w:sz="0" w:space="0" w:color="auto"/>
            <w:right w:val="none" w:sz="0" w:space="0" w:color="auto"/>
          </w:divBdr>
          <w:divsChild>
            <w:div w:id="444009164">
              <w:marLeft w:val="0"/>
              <w:marRight w:val="0"/>
              <w:marTop w:val="0"/>
              <w:marBottom w:val="0"/>
              <w:divBdr>
                <w:top w:val="none" w:sz="0" w:space="0" w:color="auto"/>
                <w:left w:val="none" w:sz="0" w:space="0" w:color="auto"/>
                <w:bottom w:val="none" w:sz="0" w:space="0" w:color="auto"/>
                <w:right w:val="none" w:sz="0" w:space="0" w:color="auto"/>
              </w:divBdr>
            </w:div>
          </w:divsChild>
        </w:div>
        <w:div w:id="335038486">
          <w:marLeft w:val="0"/>
          <w:marRight w:val="0"/>
          <w:marTop w:val="0"/>
          <w:marBottom w:val="0"/>
          <w:divBdr>
            <w:top w:val="none" w:sz="0" w:space="0" w:color="auto"/>
            <w:left w:val="none" w:sz="0" w:space="0" w:color="auto"/>
            <w:bottom w:val="none" w:sz="0" w:space="0" w:color="auto"/>
            <w:right w:val="none" w:sz="0" w:space="0" w:color="auto"/>
          </w:divBdr>
          <w:divsChild>
            <w:div w:id="646403082">
              <w:marLeft w:val="0"/>
              <w:marRight w:val="0"/>
              <w:marTop w:val="0"/>
              <w:marBottom w:val="0"/>
              <w:divBdr>
                <w:top w:val="none" w:sz="0" w:space="0" w:color="auto"/>
                <w:left w:val="none" w:sz="0" w:space="0" w:color="auto"/>
                <w:bottom w:val="none" w:sz="0" w:space="0" w:color="auto"/>
                <w:right w:val="none" w:sz="0" w:space="0" w:color="auto"/>
              </w:divBdr>
            </w:div>
          </w:divsChild>
        </w:div>
        <w:div w:id="1715812235">
          <w:marLeft w:val="0"/>
          <w:marRight w:val="0"/>
          <w:marTop w:val="0"/>
          <w:marBottom w:val="0"/>
          <w:divBdr>
            <w:top w:val="none" w:sz="0" w:space="0" w:color="auto"/>
            <w:left w:val="none" w:sz="0" w:space="0" w:color="auto"/>
            <w:bottom w:val="none" w:sz="0" w:space="0" w:color="auto"/>
            <w:right w:val="none" w:sz="0" w:space="0" w:color="auto"/>
          </w:divBdr>
          <w:divsChild>
            <w:div w:id="178937281">
              <w:marLeft w:val="0"/>
              <w:marRight w:val="0"/>
              <w:marTop w:val="0"/>
              <w:marBottom w:val="0"/>
              <w:divBdr>
                <w:top w:val="none" w:sz="0" w:space="0" w:color="auto"/>
                <w:left w:val="none" w:sz="0" w:space="0" w:color="auto"/>
                <w:bottom w:val="none" w:sz="0" w:space="0" w:color="auto"/>
                <w:right w:val="none" w:sz="0" w:space="0" w:color="auto"/>
              </w:divBdr>
            </w:div>
          </w:divsChild>
        </w:div>
        <w:div w:id="835657653">
          <w:marLeft w:val="0"/>
          <w:marRight w:val="0"/>
          <w:marTop w:val="0"/>
          <w:marBottom w:val="0"/>
          <w:divBdr>
            <w:top w:val="none" w:sz="0" w:space="0" w:color="auto"/>
            <w:left w:val="none" w:sz="0" w:space="0" w:color="auto"/>
            <w:bottom w:val="none" w:sz="0" w:space="0" w:color="auto"/>
            <w:right w:val="none" w:sz="0" w:space="0" w:color="auto"/>
          </w:divBdr>
          <w:divsChild>
            <w:div w:id="2004163904">
              <w:marLeft w:val="0"/>
              <w:marRight w:val="0"/>
              <w:marTop w:val="0"/>
              <w:marBottom w:val="0"/>
              <w:divBdr>
                <w:top w:val="none" w:sz="0" w:space="0" w:color="auto"/>
                <w:left w:val="none" w:sz="0" w:space="0" w:color="auto"/>
                <w:bottom w:val="none" w:sz="0" w:space="0" w:color="auto"/>
                <w:right w:val="none" w:sz="0" w:space="0" w:color="auto"/>
              </w:divBdr>
            </w:div>
          </w:divsChild>
        </w:div>
        <w:div w:id="1171067382">
          <w:marLeft w:val="0"/>
          <w:marRight w:val="0"/>
          <w:marTop w:val="0"/>
          <w:marBottom w:val="0"/>
          <w:divBdr>
            <w:top w:val="none" w:sz="0" w:space="0" w:color="auto"/>
            <w:left w:val="none" w:sz="0" w:space="0" w:color="auto"/>
            <w:bottom w:val="none" w:sz="0" w:space="0" w:color="auto"/>
            <w:right w:val="none" w:sz="0" w:space="0" w:color="auto"/>
          </w:divBdr>
          <w:divsChild>
            <w:div w:id="1796173617">
              <w:marLeft w:val="0"/>
              <w:marRight w:val="0"/>
              <w:marTop w:val="0"/>
              <w:marBottom w:val="0"/>
              <w:divBdr>
                <w:top w:val="none" w:sz="0" w:space="0" w:color="auto"/>
                <w:left w:val="none" w:sz="0" w:space="0" w:color="auto"/>
                <w:bottom w:val="none" w:sz="0" w:space="0" w:color="auto"/>
                <w:right w:val="none" w:sz="0" w:space="0" w:color="auto"/>
              </w:divBdr>
            </w:div>
          </w:divsChild>
        </w:div>
        <w:div w:id="335765342">
          <w:marLeft w:val="0"/>
          <w:marRight w:val="0"/>
          <w:marTop w:val="0"/>
          <w:marBottom w:val="0"/>
          <w:divBdr>
            <w:top w:val="none" w:sz="0" w:space="0" w:color="auto"/>
            <w:left w:val="none" w:sz="0" w:space="0" w:color="auto"/>
            <w:bottom w:val="none" w:sz="0" w:space="0" w:color="auto"/>
            <w:right w:val="none" w:sz="0" w:space="0" w:color="auto"/>
          </w:divBdr>
          <w:divsChild>
            <w:div w:id="310406626">
              <w:marLeft w:val="0"/>
              <w:marRight w:val="0"/>
              <w:marTop w:val="0"/>
              <w:marBottom w:val="0"/>
              <w:divBdr>
                <w:top w:val="none" w:sz="0" w:space="0" w:color="auto"/>
                <w:left w:val="none" w:sz="0" w:space="0" w:color="auto"/>
                <w:bottom w:val="none" w:sz="0" w:space="0" w:color="auto"/>
                <w:right w:val="none" w:sz="0" w:space="0" w:color="auto"/>
              </w:divBdr>
            </w:div>
          </w:divsChild>
        </w:div>
        <w:div w:id="1530072150">
          <w:marLeft w:val="0"/>
          <w:marRight w:val="0"/>
          <w:marTop w:val="0"/>
          <w:marBottom w:val="0"/>
          <w:divBdr>
            <w:top w:val="none" w:sz="0" w:space="0" w:color="auto"/>
            <w:left w:val="none" w:sz="0" w:space="0" w:color="auto"/>
            <w:bottom w:val="none" w:sz="0" w:space="0" w:color="auto"/>
            <w:right w:val="none" w:sz="0" w:space="0" w:color="auto"/>
          </w:divBdr>
          <w:divsChild>
            <w:div w:id="759259108">
              <w:marLeft w:val="0"/>
              <w:marRight w:val="0"/>
              <w:marTop w:val="0"/>
              <w:marBottom w:val="0"/>
              <w:divBdr>
                <w:top w:val="none" w:sz="0" w:space="0" w:color="auto"/>
                <w:left w:val="none" w:sz="0" w:space="0" w:color="auto"/>
                <w:bottom w:val="none" w:sz="0" w:space="0" w:color="auto"/>
                <w:right w:val="none" w:sz="0" w:space="0" w:color="auto"/>
              </w:divBdr>
            </w:div>
          </w:divsChild>
        </w:div>
        <w:div w:id="201483529">
          <w:marLeft w:val="0"/>
          <w:marRight w:val="0"/>
          <w:marTop w:val="0"/>
          <w:marBottom w:val="0"/>
          <w:divBdr>
            <w:top w:val="none" w:sz="0" w:space="0" w:color="auto"/>
            <w:left w:val="none" w:sz="0" w:space="0" w:color="auto"/>
            <w:bottom w:val="none" w:sz="0" w:space="0" w:color="auto"/>
            <w:right w:val="none" w:sz="0" w:space="0" w:color="auto"/>
          </w:divBdr>
          <w:divsChild>
            <w:div w:id="1380547439">
              <w:marLeft w:val="0"/>
              <w:marRight w:val="0"/>
              <w:marTop w:val="0"/>
              <w:marBottom w:val="0"/>
              <w:divBdr>
                <w:top w:val="none" w:sz="0" w:space="0" w:color="auto"/>
                <w:left w:val="none" w:sz="0" w:space="0" w:color="auto"/>
                <w:bottom w:val="none" w:sz="0" w:space="0" w:color="auto"/>
                <w:right w:val="none" w:sz="0" w:space="0" w:color="auto"/>
              </w:divBdr>
            </w:div>
          </w:divsChild>
        </w:div>
        <w:div w:id="74478399">
          <w:marLeft w:val="0"/>
          <w:marRight w:val="0"/>
          <w:marTop w:val="0"/>
          <w:marBottom w:val="0"/>
          <w:divBdr>
            <w:top w:val="none" w:sz="0" w:space="0" w:color="auto"/>
            <w:left w:val="none" w:sz="0" w:space="0" w:color="auto"/>
            <w:bottom w:val="none" w:sz="0" w:space="0" w:color="auto"/>
            <w:right w:val="none" w:sz="0" w:space="0" w:color="auto"/>
          </w:divBdr>
          <w:divsChild>
            <w:div w:id="871579486">
              <w:marLeft w:val="0"/>
              <w:marRight w:val="0"/>
              <w:marTop w:val="0"/>
              <w:marBottom w:val="0"/>
              <w:divBdr>
                <w:top w:val="none" w:sz="0" w:space="0" w:color="auto"/>
                <w:left w:val="none" w:sz="0" w:space="0" w:color="auto"/>
                <w:bottom w:val="none" w:sz="0" w:space="0" w:color="auto"/>
                <w:right w:val="none" w:sz="0" w:space="0" w:color="auto"/>
              </w:divBdr>
            </w:div>
          </w:divsChild>
        </w:div>
        <w:div w:id="1673946019">
          <w:marLeft w:val="0"/>
          <w:marRight w:val="0"/>
          <w:marTop w:val="0"/>
          <w:marBottom w:val="0"/>
          <w:divBdr>
            <w:top w:val="none" w:sz="0" w:space="0" w:color="auto"/>
            <w:left w:val="none" w:sz="0" w:space="0" w:color="auto"/>
            <w:bottom w:val="none" w:sz="0" w:space="0" w:color="auto"/>
            <w:right w:val="none" w:sz="0" w:space="0" w:color="auto"/>
          </w:divBdr>
          <w:divsChild>
            <w:div w:id="1804151293">
              <w:marLeft w:val="0"/>
              <w:marRight w:val="0"/>
              <w:marTop w:val="0"/>
              <w:marBottom w:val="0"/>
              <w:divBdr>
                <w:top w:val="none" w:sz="0" w:space="0" w:color="auto"/>
                <w:left w:val="none" w:sz="0" w:space="0" w:color="auto"/>
                <w:bottom w:val="none" w:sz="0" w:space="0" w:color="auto"/>
                <w:right w:val="none" w:sz="0" w:space="0" w:color="auto"/>
              </w:divBdr>
            </w:div>
          </w:divsChild>
        </w:div>
        <w:div w:id="2060324148">
          <w:marLeft w:val="0"/>
          <w:marRight w:val="0"/>
          <w:marTop w:val="0"/>
          <w:marBottom w:val="0"/>
          <w:divBdr>
            <w:top w:val="none" w:sz="0" w:space="0" w:color="auto"/>
            <w:left w:val="none" w:sz="0" w:space="0" w:color="auto"/>
            <w:bottom w:val="none" w:sz="0" w:space="0" w:color="auto"/>
            <w:right w:val="none" w:sz="0" w:space="0" w:color="auto"/>
          </w:divBdr>
          <w:divsChild>
            <w:div w:id="2067683978">
              <w:marLeft w:val="0"/>
              <w:marRight w:val="0"/>
              <w:marTop w:val="0"/>
              <w:marBottom w:val="0"/>
              <w:divBdr>
                <w:top w:val="none" w:sz="0" w:space="0" w:color="auto"/>
                <w:left w:val="none" w:sz="0" w:space="0" w:color="auto"/>
                <w:bottom w:val="none" w:sz="0" w:space="0" w:color="auto"/>
                <w:right w:val="none" w:sz="0" w:space="0" w:color="auto"/>
              </w:divBdr>
            </w:div>
          </w:divsChild>
        </w:div>
        <w:div w:id="945118182">
          <w:marLeft w:val="0"/>
          <w:marRight w:val="0"/>
          <w:marTop w:val="0"/>
          <w:marBottom w:val="0"/>
          <w:divBdr>
            <w:top w:val="none" w:sz="0" w:space="0" w:color="auto"/>
            <w:left w:val="none" w:sz="0" w:space="0" w:color="auto"/>
            <w:bottom w:val="none" w:sz="0" w:space="0" w:color="auto"/>
            <w:right w:val="none" w:sz="0" w:space="0" w:color="auto"/>
          </w:divBdr>
          <w:divsChild>
            <w:div w:id="258955612">
              <w:marLeft w:val="0"/>
              <w:marRight w:val="0"/>
              <w:marTop w:val="0"/>
              <w:marBottom w:val="0"/>
              <w:divBdr>
                <w:top w:val="none" w:sz="0" w:space="0" w:color="auto"/>
                <w:left w:val="none" w:sz="0" w:space="0" w:color="auto"/>
                <w:bottom w:val="none" w:sz="0" w:space="0" w:color="auto"/>
                <w:right w:val="none" w:sz="0" w:space="0" w:color="auto"/>
              </w:divBdr>
            </w:div>
          </w:divsChild>
        </w:div>
        <w:div w:id="977566327">
          <w:marLeft w:val="0"/>
          <w:marRight w:val="0"/>
          <w:marTop w:val="0"/>
          <w:marBottom w:val="0"/>
          <w:divBdr>
            <w:top w:val="none" w:sz="0" w:space="0" w:color="auto"/>
            <w:left w:val="none" w:sz="0" w:space="0" w:color="auto"/>
            <w:bottom w:val="none" w:sz="0" w:space="0" w:color="auto"/>
            <w:right w:val="none" w:sz="0" w:space="0" w:color="auto"/>
          </w:divBdr>
          <w:divsChild>
            <w:div w:id="805314470">
              <w:marLeft w:val="0"/>
              <w:marRight w:val="0"/>
              <w:marTop w:val="0"/>
              <w:marBottom w:val="0"/>
              <w:divBdr>
                <w:top w:val="none" w:sz="0" w:space="0" w:color="auto"/>
                <w:left w:val="none" w:sz="0" w:space="0" w:color="auto"/>
                <w:bottom w:val="none" w:sz="0" w:space="0" w:color="auto"/>
                <w:right w:val="none" w:sz="0" w:space="0" w:color="auto"/>
              </w:divBdr>
            </w:div>
          </w:divsChild>
        </w:div>
        <w:div w:id="1506170611">
          <w:marLeft w:val="0"/>
          <w:marRight w:val="0"/>
          <w:marTop w:val="0"/>
          <w:marBottom w:val="0"/>
          <w:divBdr>
            <w:top w:val="none" w:sz="0" w:space="0" w:color="auto"/>
            <w:left w:val="none" w:sz="0" w:space="0" w:color="auto"/>
            <w:bottom w:val="none" w:sz="0" w:space="0" w:color="auto"/>
            <w:right w:val="none" w:sz="0" w:space="0" w:color="auto"/>
          </w:divBdr>
          <w:divsChild>
            <w:div w:id="1554850627">
              <w:marLeft w:val="0"/>
              <w:marRight w:val="0"/>
              <w:marTop w:val="0"/>
              <w:marBottom w:val="0"/>
              <w:divBdr>
                <w:top w:val="none" w:sz="0" w:space="0" w:color="auto"/>
                <w:left w:val="none" w:sz="0" w:space="0" w:color="auto"/>
                <w:bottom w:val="none" w:sz="0" w:space="0" w:color="auto"/>
                <w:right w:val="none" w:sz="0" w:space="0" w:color="auto"/>
              </w:divBdr>
            </w:div>
          </w:divsChild>
        </w:div>
        <w:div w:id="1451240743">
          <w:marLeft w:val="0"/>
          <w:marRight w:val="0"/>
          <w:marTop w:val="0"/>
          <w:marBottom w:val="0"/>
          <w:divBdr>
            <w:top w:val="none" w:sz="0" w:space="0" w:color="auto"/>
            <w:left w:val="none" w:sz="0" w:space="0" w:color="auto"/>
            <w:bottom w:val="none" w:sz="0" w:space="0" w:color="auto"/>
            <w:right w:val="none" w:sz="0" w:space="0" w:color="auto"/>
          </w:divBdr>
          <w:divsChild>
            <w:div w:id="1452361819">
              <w:marLeft w:val="0"/>
              <w:marRight w:val="0"/>
              <w:marTop w:val="0"/>
              <w:marBottom w:val="0"/>
              <w:divBdr>
                <w:top w:val="none" w:sz="0" w:space="0" w:color="auto"/>
                <w:left w:val="none" w:sz="0" w:space="0" w:color="auto"/>
                <w:bottom w:val="none" w:sz="0" w:space="0" w:color="auto"/>
                <w:right w:val="none" w:sz="0" w:space="0" w:color="auto"/>
              </w:divBdr>
            </w:div>
          </w:divsChild>
        </w:div>
        <w:div w:id="1209031047">
          <w:marLeft w:val="0"/>
          <w:marRight w:val="0"/>
          <w:marTop w:val="0"/>
          <w:marBottom w:val="0"/>
          <w:divBdr>
            <w:top w:val="none" w:sz="0" w:space="0" w:color="auto"/>
            <w:left w:val="none" w:sz="0" w:space="0" w:color="auto"/>
            <w:bottom w:val="none" w:sz="0" w:space="0" w:color="auto"/>
            <w:right w:val="none" w:sz="0" w:space="0" w:color="auto"/>
          </w:divBdr>
          <w:divsChild>
            <w:div w:id="1036387917">
              <w:marLeft w:val="0"/>
              <w:marRight w:val="0"/>
              <w:marTop w:val="0"/>
              <w:marBottom w:val="0"/>
              <w:divBdr>
                <w:top w:val="none" w:sz="0" w:space="0" w:color="auto"/>
                <w:left w:val="none" w:sz="0" w:space="0" w:color="auto"/>
                <w:bottom w:val="none" w:sz="0" w:space="0" w:color="auto"/>
                <w:right w:val="none" w:sz="0" w:space="0" w:color="auto"/>
              </w:divBdr>
            </w:div>
          </w:divsChild>
        </w:div>
        <w:div w:id="1442993065">
          <w:marLeft w:val="0"/>
          <w:marRight w:val="0"/>
          <w:marTop w:val="0"/>
          <w:marBottom w:val="0"/>
          <w:divBdr>
            <w:top w:val="none" w:sz="0" w:space="0" w:color="auto"/>
            <w:left w:val="none" w:sz="0" w:space="0" w:color="auto"/>
            <w:bottom w:val="none" w:sz="0" w:space="0" w:color="auto"/>
            <w:right w:val="none" w:sz="0" w:space="0" w:color="auto"/>
          </w:divBdr>
          <w:divsChild>
            <w:div w:id="1167791404">
              <w:marLeft w:val="0"/>
              <w:marRight w:val="0"/>
              <w:marTop w:val="0"/>
              <w:marBottom w:val="0"/>
              <w:divBdr>
                <w:top w:val="none" w:sz="0" w:space="0" w:color="auto"/>
                <w:left w:val="none" w:sz="0" w:space="0" w:color="auto"/>
                <w:bottom w:val="none" w:sz="0" w:space="0" w:color="auto"/>
                <w:right w:val="none" w:sz="0" w:space="0" w:color="auto"/>
              </w:divBdr>
            </w:div>
          </w:divsChild>
        </w:div>
        <w:div w:id="1168136019">
          <w:marLeft w:val="0"/>
          <w:marRight w:val="0"/>
          <w:marTop w:val="0"/>
          <w:marBottom w:val="0"/>
          <w:divBdr>
            <w:top w:val="none" w:sz="0" w:space="0" w:color="auto"/>
            <w:left w:val="none" w:sz="0" w:space="0" w:color="auto"/>
            <w:bottom w:val="none" w:sz="0" w:space="0" w:color="auto"/>
            <w:right w:val="none" w:sz="0" w:space="0" w:color="auto"/>
          </w:divBdr>
          <w:divsChild>
            <w:div w:id="711077479">
              <w:marLeft w:val="0"/>
              <w:marRight w:val="0"/>
              <w:marTop w:val="0"/>
              <w:marBottom w:val="0"/>
              <w:divBdr>
                <w:top w:val="none" w:sz="0" w:space="0" w:color="auto"/>
                <w:left w:val="none" w:sz="0" w:space="0" w:color="auto"/>
                <w:bottom w:val="none" w:sz="0" w:space="0" w:color="auto"/>
                <w:right w:val="none" w:sz="0" w:space="0" w:color="auto"/>
              </w:divBdr>
            </w:div>
          </w:divsChild>
        </w:div>
        <w:div w:id="1298874844">
          <w:marLeft w:val="0"/>
          <w:marRight w:val="0"/>
          <w:marTop w:val="0"/>
          <w:marBottom w:val="0"/>
          <w:divBdr>
            <w:top w:val="none" w:sz="0" w:space="0" w:color="auto"/>
            <w:left w:val="none" w:sz="0" w:space="0" w:color="auto"/>
            <w:bottom w:val="none" w:sz="0" w:space="0" w:color="auto"/>
            <w:right w:val="none" w:sz="0" w:space="0" w:color="auto"/>
          </w:divBdr>
          <w:divsChild>
            <w:div w:id="777873424">
              <w:marLeft w:val="0"/>
              <w:marRight w:val="0"/>
              <w:marTop w:val="0"/>
              <w:marBottom w:val="0"/>
              <w:divBdr>
                <w:top w:val="none" w:sz="0" w:space="0" w:color="auto"/>
                <w:left w:val="none" w:sz="0" w:space="0" w:color="auto"/>
                <w:bottom w:val="none" w:sz="0" w:space="0" w:color="auto"/>
                <w:right w:val="none" w:sz="0" w:space="0" w:color="auto"/>
              </w:divBdr>
            </w:div>
          </w:divsChild>
        </w:div>
        <w:div w:id="112598864">
          <w:marLeft w:val="0"/>
          <w:marRight w:val="0"/>
          <w:marTop w:val="0"/>
          <w:marBottom w:val="0"/>
          <w:divBdr>
            <w:top w:val="none" w:sz="0" w:space="0" w:color="auto"/>
            <w:left w:val="none" w:sz="0" w:space="0" w:color="auto"/>
            <w:bottom w:val="none" w:sz="0" w:space="0" w:color="auto"/>
            <w:right w:val="none" w:sz="0" w:space="0" w:color="auto"/>
          </w:divBdr>
          <w:divsChild>
            <w:div w:id="846947131">
              <w:marLeft w:val="0"/>
              <w:marRight w:val="0"/>
              <w:marTop w:val="0"/>
              <w:marBottom w:val="0"/>
              <w:divBdr>
                <w:top w:val="none" w:sz="0" w:space="0" w:color="auto"/>
                <w:left w:val="none" w:sz="0" w:space="0" w:color="auto"/>
                <w:bottom w:val="none" w:sz="0" w:space="0" w:color="auto"/>
                <w:right w:val="none" w:sz="0" w:space="0" w:color="auto"/>
              </w:divBdr>
            </w:div>
          </w:divsChild>
        </w:div>
        <w:div w:id="120274646">
          <w:marLeft w:val="0"/>
          <w:marRight w:val="0"/>
          <w:marTop w:val="0"/>
          <w:marBottom w:val="0"/>
          <w:divBdr>
            <w:top w:val="none" w:sz="0" w:space="0" w:color="auto"/>
            <w:left w:val="none" w:sz="0" w:space="0" w:color="auto"/>
            <w:bottom w:val="none" w:sz="0" w:space="0" w:color="auto"/>
            <w:right w:val="none" w:sz="0" w:space="0" w:color="auto"/>
          </w:divBdr>
          <w:divsChild>
            <w:div w:id="1602297378">
              <w:marLeft w:val="0"/>
              <w:marRight w:val="0"/>
              <w:marTop w:val="0"/>
              <w:marBottom w:val="0"/>
              <w:divBdr>
                <w:top w:val="none" w:sz="0" w:space="0" w:color="auto"/>
                <w:left w:val="none" w:sz="0" w:space="0" w:color="auto"/>
                <w:bottom w:val="none" w:sz="0" w:space="0" w:color="auto"/>
                <w:right w:val="none" w:sz="0" w:space="0" w:color="auto"/>
              </w:divBdr>
            </w:div>
          </w:divsChild>
        </w:div>
        <w:div w:id="664817396">
          <w:marLeft w:val="0"/>
          <w:marRight w:val="0"/>
          <w:marTop w:val="0"/>
          <w:marBottom w:val="0"/>
          <w:divBdr>
            <w:top w:val="none" w:sz="0" w:space="0" w:color="auto"/>
            <w:left w:val="none" w:sz="0" w:space="0" w:color="auto"/>
            <w:bottom w:val="none" w:sz="0" w:space="0" w:color="auto"/>
            <w:right w:val="none" w:sz="0" w:space="0" w:color="auto"/>
          </w:divBdr>
          <w:divsChild>
            <w:div w:id="112369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5</Pages>
  <Words>1923</Words>
  <Characters>10962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12860</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NOVLAN, THOMAS D</cp:lastModifiedBy>
  <cp:revision>5</cp:revision>
  <cp:lastPrinted>2016-02-23T14:51:00Z</cp:lastPrinted>
  <dcterms:created xsi:type="dcterms:W3CDTF">2021-11-29T17:05:00Z</dcterms:created>
  <dcterms:modified xsi:type="dcterms:W3CDTF">2021-11-29T20:22:00Z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